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6A300" w14:textId="77777777" w:rsidR="00564BD2" w:rsidRPr="002B7FBA" w:rsidRDefault="00000000">
      <w:pPr>
        <w:pStyle w:val="1"/>
        <w:rPr>
          <w:rFonts w:ascii="Times New Roman" w:hAnsi="Times New Roman" w:cs="Times New Roman"/>
          <w:color w:val="auto"/>
        </w:rPr>
      </w:pPr>
      <w:r w:rsidRPr="002B7FBA">
        <w:rPr>
          <w:rFonts w:ascii="Times New Roman" w:hAnsi="Times New Roman" w:cs="Times New Roman"/>
          <w:color w:val="auto"/>
        </w:rPr>
        <w:t>Архитектура и методы мультимодального искусственного интеллекта в кардиологии: Анализ передовых решений для прогнозирования риска сердечной недостаточности</w:t>
      </w:r>
    </w:p>
    <w:p w14:paraId="4CA80620" w14:textId="77777777" w:rsidR="00564BD2" w:rsidRPr="002B7FBA" w:rsidRDefault="00000000">
      <w:pPr>
        <w:pStyle w:val="2"/>
        <w:spacing w:before="0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>Введение</w:t>
      </w:r>
    </w:p>
    <w:p w14:paraId="64FFCC45" w14:textId="678E4D3B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Разработка систем поддержки принятия врачебных решений (СППВР) в области биомедицинской инженерии и вычислительной кардиологии требует перехода от изолированных эвристических алгоритмов к стандартизированным, клинически валидированным архитектурам. Современный этап развития кардиологического искусственного интеллекта характеризуется внедрением сквозных научно обоснованных конвейеров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pipelines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), объединяющих мультимодальное слияние разнородных клинических данных, методы алгоритмической интерпретируемости (XAI), многомерную оценку клинической пользы и соответствие международным стандартам безопасности медицинского программного обеспечения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SaMD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).</w:t>
      </w:r>
    </w:p>
    <w:p w14:paraId="444C5A51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75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Раннее выявление скрытых структурных и функциональных нарушений миокарда (в частности, стадии B предсердечной недостаточности) до манифестации симптомов представляет собой сложную диагностическую задачу, требующую одновременного анализа электрофизиологических сигналов и гемодинамических параметров [1]. Ведущие исследовательские центры (лаборатория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CarDS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Йельского университета, Колумбийский университет с проектом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EchoNext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), а также сертифицированные коммерческие платформы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Eko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Health,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Biofourmis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 сформировали устойчивые технологические бенчмарки. Анализ данных решений позволяет систематизировать методологическую базу для проектирования эффективной мультимодальной системы стратификации риска сердечной недостаточности (СН).</w:t>
      </w:r>
    </w:p>
    <w:p w14:paraId="3DC62A92" w14:textId="77777777" w:rsidR="002B7FBA" w:rsidRPr="002B7FBA" w:rsidRDefault="002B7FBA">
      <w:pPr>
        <w:pStyle w:val="2"/>
        <w:spacing w:before="0"/>
        <w:rPr>
          <w:rFonts w:ascii="Times New Roman" w:hAnsi="Times New Roman" w:cs="Times New Roman"/>
          <w:color w:val="auto"/>
          <w:sz w:val="32"/>
          <w:szCs w:val="32"/>
        </w:rPr>
      </w:pPr>
    </w:p>
    <w:p w14:paraId="4085A67B" w14:textId="77777777" w:rsidR="002B7FBA" w:rsidRPr="002B7FBA" w:rsidRDefault="002B7FBA">
      <w:pPr>
        <w:pStyle w:val="2"/>
        <w:spacing w:before="0"/>
        <w:rPr>
          <w:rFonts w:ascii="Times New Roman" w:hAnsi="Times New Roman" w:cs="Times New Roman"/>
          <w:color w:val="auto"/>
          <w:sz w:val="32"/>
          <w:szCs w:val="32"/>
        </w:rPr>
      </w:pPr>
    </w:p>
    <w:p w14:paraId="4031BACE" w14:textId="765BF2FC" w:rsidR="00564BD2" w:rsidRPr="002B7FBA" w:rsidRDefault="00000000">
      <w:pPr>
        <w:pStyle w:val="2"/>
        <w:spacing w:before="0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>1. Архитектура и методы цифровой обработки электрокардиографических сигналов</w:t>
      </w:r>
    </w:p>
    <w:p w14:paraId="4ED84175" w14:textId="5935C94B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Электрокардиография (ЭКГ) в 12 стандартных отведениях остается наиболее массовым и экономически доступным инструментом первичного кардиологического скрининга. Однако визуальный анализ ЭКГ или применение жестких пороговых правил не позволяют надежно выявлять субклиническую систолическую дисфункцию левого желудочка [2]. Современные методы глубокого обучения рассматривают сигнал ЭКГ как источник скрытых многомерных цифровых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биомаркеров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, требующий строгой математической предобработки.</w:t>
      </w:r>
    </w:p>
    <w:p w14:paraId="5954106D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1.1. Стандарты предобработки сырых сигналов</w:t>
      </w:r>
    </w:p>
    <w:p w14:paraId="09070728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Опыт соревнований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PhysioNet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/Computing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in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Cardiology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CinC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Challenge) демонстрирует, что обобщающая способность моделей напрямую лимитируется протоколами предварительной фильтрации [3]. Исходные 12-канальные записи содержат аппаратные и физиологические артефакты: низкочастотный дрейф изолинии (дыхание), высокочастотные сетевые наводки (50/60 Гц) и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миографические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помехи.</w:t>
      </w:r>
    </w:p>
    <w:p w14:paraId="5074A922" w14:textId="77777777" w:rsidR="002B7FBA" w:rsidRDefault="002B7FBA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</w:p>
    <w:p w14:paraId="7D5E8A6B" w14:textId="77777777" w:rsidR="002B7FBA" w:rsidRDefault="002B7FBA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</w:p>
    <w:p w14:paraId="74A6CE4D" w14:textId="77777777" w:rsidR="002B7FBA" w:rsidRDefault="002B7FBA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</w:p>
    <w:p w14:paraId="06BE0DB7" w14:textId="77777777" w:rsidR="002B7FBA" w:rsidRDefault="002B7FBA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</w:p>
    <w:p w14:paraId="3CF90C1D" w14:textId="77777777" w:rsidR="002B7FBA" w:rsidRDefault="002B7FBA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</w:p>
    <w:p w14:paraId="2EA5B0A0" w14:textId="77777777" w:rsidR="002B7FBA" w:rsidRDefault="002B7FBA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</w:p>
    <w:p w14:paraId="6DAA5009" w14:textId="39528ADA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r w:rsidRPr="002B7FBA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>Таблица 1. Этапы и параметры конвейера цифровой обработки ЭКГ-сигналов</w:t>
      </w:r>
    </w:p>
    <w:tbl>
      <w:tblPr>
        <w:tblStyle w:val="a5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4212"/>
        <w:gridCol w:w="2808"/>
      </w:tblGrid>
      <w:tr w:rsidR="002B7FBA" w:rsidRPr="002B7FBA" w14:paraId="37964A18" w14:textId="77777777">
        <w:trPr>
          <w:tblHeader/>
        </w:trPr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CD668D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Этап предобработки</w:t>
            </w:r>
          </w:p>
        </w:tc>
        <w:tc>
          <w:tcPr>
            <w:tcW w:w="42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E3FDAD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Клиническое и алгоритмическое обоснование</w:t>
            </w:r>
          </w:p>
        </w:tc>
        <w:tc>
          <w:tcPr>
            <w:tcW w:w="280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879025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Отраслевой стандарт (параметры)</w:t>
            </w:r>
          </w:p>
          <w:p w14:paraId="0BB19B0F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2B7FBA" w:rsidRPr="002B7FBA" w14:paraId="35222F68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A544AD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Ресэмплинг</w:t>
            </w:r>
            <w:proofErr w:type="spellEnd"/>
          </w:p>
        </w:tc>
        <w:tc>
          <w:tcPr>
            <w:tcW w:w="42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485F0A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Приведение записей из разнородных баз данных к фиксированному временному шагу для стандартизации входного тензора нейросети.</w:t>
            </w:r>
          </w:p>
        </w:tc>
        <w:tc>
          <w:tcPr>
            <w:tcW w:w="280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72D355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Приведение к частоте 250 Гц (размерность матрицы 2500 × 12 для 10-секундного фрагмента) [4].</w:t>
            </w:r>
          </w:p>
        </w:tc>
      </w:tr>
      <w:tr w:rsidR="002B7FBA" w:rsidRPr="002B7FBA" w14:paraId="2922CA2E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818637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Полосовая фильтрация</w:t>
            </w:r>
          </w:p>
        </w:tc>
        <w:tc>
          <w:tcPr>
            <w:tcW w:w="42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06D93A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Подавление низкочастотного тренда изолинии и высокочастотного шума при сохранении амплитудно-фазовых характеристик комплекса QRS.</w:t>
            </w:r>
          </w:p>
        </w:tc>
        <w:tc>
          <w:tcPr>
            <w:tcW w:w="280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C8599E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Фильтр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Баттерворта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4-го порядка с полосой пропускания 0.5–40.0 Гц с двунаправленной фильтрацией (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zero-phase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>).</w:t>
            </w:r>
          </w:p>
        </w:tc>
      </w:tr>
      <w:tr w:rsidR="002B7FBA" w:rsidRPr="002B7FBA" w14:paraId="5D1BE792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B32100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Z-нормализация</w:t>
            </w:r>
          </w:p>
        </w:tc>
        <w:tc>
          <w:tcPr>
            <w:tcW w:w="42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05D21F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Устранение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межаппаратной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вариативности усиления сигнала; акцент оптимизатора на морфологии волн, а не на абсолютном вольтаже.</w:t>
            </w:r>
          </w:p>
        </w:tc>
        <w:tc>
          <w:tcPr>
            <w:tcW w:w="280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5AAFED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Стандартизация каждого отведения: z = (x - μ) / σ, где μ и σ фиксируются только по обучающей выборке.</w:t>
            </w:r>
          </w:p>
        </w:tc>
      </w:tr>
    </w:tbl>
    <w:p w14:paraId="128FA907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30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Критическим методологическим требованием является предотвращение утечки данных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data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leakage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): расчет параметров нормализации (μ, σ) по всей генеральной совокупности до разбиения на обучающую и тестовую выборки искажает результаты валидации и недопустим [5].</w:t>
      </w:r>
    </w:p>
    <w:p w14:paraId="2C5434FB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 xml:space="preserve">1.2. Модели-экстракторы и извлечение пространственных </w:t>
      </w:r>
      <w:proofErr w:type="spellStart"/>
      <w:r w:rsidRPr="002B7FBA">
        <w:rPr>
          <w:rFonts w:ascii="Times New Roman" w:hAnsi="Times New Roman" w:cs="Times New Roman"/>
          <w:color w:val="auto"/>
          <w:sz w:val="28"/>
          <w:szCs w:val="28"/>
        </w:rPr>
        <w:t>эмбеддингов</w:t>
      </w:r>
      <w:proofErr w:type="spellEnd"/>
    </w:p>
    <w:p w14:paraId="358146F1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Обучение глубоких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сверточных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сетей с нуля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from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scratch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 для предсказания риска сердечной патологии требует сотен тысяч верифицированных записей [6]. В условиях ограниченных выборок общепринятой практикой является трансферное обучение (Transfer Learning) на базе фундаментальных моделей.</w:t>
      </w:r>
    </w:p>
    <w:p w14:paraId="3B8B6983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Архитектура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EchoNext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(разработка Колумбийского университета) обучена на когорте более 1.2 млн сопоставленных пар «12-канальная ЭКГ — эхокардиография» [7]. Облегченная версия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EchoNext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-Mini) предоставляет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предобученные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веса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сверточных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блоков.</w:t>
      </w:r>
    </w:p>
    <w:p w14:paraId="6E5B97E2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Интеграция данной модели в конвейер осуществляется путем удаления финального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полносвязного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слоя классификации (замена на оператор тождественного преобразования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nn.Identity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PyTorch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). В результате сеть трансформируется в экстрактор признаков, преобразующий тензор сигнала размерностью (12 × 2500) в плотный латентный вектор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эмбеддинг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размерностью v </w:t>
      </w:r>
      <w:r w:rsidRPr="002B7FBA">
        <w:rPr>
          <w:rFonts w:ascii="Cambria Math" w:hAnsi="Cambria Math" w:cs="Cambria Math"/>
          <w:color w:val="auto"/>
          <w:sz w:val="24"/>
          <w:szCs w:val="24"/>
        </w:rPr>
        <w:t>∈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ℜ</w:t>
      </w:r>
      <w:r w:rsidRPr="002B7FBA"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256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>. Такое представление сохраняет морфологическую информацию о микроструктуре зубцов, интервалах проводимости и признаках гипертрофии, исключая информационную деградацию («бутылочное горлышко») ранней бинаризации [8].</w:t>
      </w:r>
    </w:p>
    <w:p w14:paraId="4ADEBC60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 xml:space="preserve">1.3. Сравнительный анализ архитектур нейронных сетей для анализа </w:t>
      </w:r>
      <w:proofErr w:type="spellStart"/>
      <w:r w:rsidRPr="002B7FBA">
        <w:rPr>
          <w:rFonts w:ascii="Times New Roman" w:hAnsi="Times New Roman" w:cs="Times New Roman"/>
          <w:color w:val="auto"/>
          <w:sz w:val="28"/>
          <w:szCs w:val="28"/>
        </w:rPr>
        <w:t>биосигналов</w:t>
      </w:r>
      <w:proofErr w:type="spellEnd"/>
    </w:p>
    <w:p w14:paraId="5DED91B4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В профильных исследованиях последних лет выделяются три ключевых класса архитектур:</w:t>
      </w:r>
    </w:p>
    <w:p w14:paraId="7DFB96A1" w14:textId="77777777" w:rsidR="00564BD2" w:rsidRPr="002B7F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Одномерные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сверточные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сети (1D CNN / ResNet1d):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Базовый стандарт отрасли. За счет использования остаточных связей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residual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connections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сети семейства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ResNet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устойчивы к затуханию градиента и эффективно извлекают локальные морфологические паттерны [9].</w:t>
      </w:r>
    </w:p>
    <w:p w14:paraId="37CEA270" w14:textId="77777777" w:rsidR="00564BD2" w:rsidRPr="002B7F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Временные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сверточные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сети (TCN):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Применение расширенных причинно-следственных сверток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dilated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causal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convolutions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 обеспечивает увеличенное рецептивное поле без потери временного разрешения, демонстрируя высокую точность при долгосрочном моделировании [10].</w:t>
      </w:r>
    </w:p>
    <w:p w14:paraId="0D3A7796" w14:textId="77777777" w:rsidR="00564BD2" w:rsidRPr="002B7F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Трансформеры и механизмы внимания (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Attention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Модели с кросс-канальным вниманием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cross-lead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attention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позволяют отслеживать пространственные корреляции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между анатомически связанными отведениями (например,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передне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-перегородочными V1–V3 и боковыми I,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aVL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, V5–V6), что повышает как точность, так и объяснимость выводов модели [11].</w:t>
      </w:r>
    </w:p>
    <w:p w14:paraId="170A6141" w14:textId="77777777" w:rsidR="00564BD2" w:rsidRPr="002B7FBA" w:rsidRDefault="00000000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>2. Стратегии мультимодального слияния данных</w:t>
      </w:r>
    </w:p>
    <w:p w14:paraId="0441B117" w14:textId="62509D1D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Изолированный анализ биоэлектрической активности миокарда не отражает в полной мере патогенез сердечной недостаточности. Хроническая дисфункция миокарда формируется под совокупным воздействием гемодинамической перегрузки, метаболического статуса и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коморбидного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фона. В связи с этим золотым стандартом биомедицинской информатики выступает мультимодальное машинное обучение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Multimodal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Machine Learning, MML) [12].</w:t>
      </w:r>
    </w:p>
    <w:p w14:paraId="673374DA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2.1. Концептуальные основы синтеза гетерогенных модальностей</w:t>
      </w:r>
    </w:p>
    <w:p w14:paraId="3C16C38F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В кардиологических СППВР выделяют три фундаментальные стратегии интеграции данных:</w:t>
      </w:r>
    </w:p>
    <w:p w14:paraId="50592229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r w:rsidRPr="002B7FBA">
        <w:rPr>
          <w:rFonts w:ascii="Times New Roman" w:hAnsi="Times New Roman" w:cs="Times New Roman"/>
          <w:b/>
          <w:bCs/>
          <w:i/>
          <w:iCs/>
          <w:color w:val="auto"/>
        </w:rPr>
        <w:t>Таблица 2. Сравнительный анализ стратегий интеграции гетерогенных данных</w:t>
      </w:r>
    </w:p>
    <w:tbl>
      <w:tblPr>
        <w:tblStyle w:val="a6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76"/>
        <w:gridCol w:w="3744"/>
      </w:tblGrid>
      <w:tr w:rsidR="002B7FBA" w:rsidRPr="002B7FBA" w14:paraId="23BF90CE" w14:textId="77777777">
        <w:trPr>
          <w:tblHeader/>
        </w:trPr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80573D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Стратегия слияния</w:t>
            </w:r>
          </w:p>
        </w:tc>
        <w:tc>
          <w:tcPr>
            <w:tcW w:w="32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9F788F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Архитектурный принцип</w:t>
            </w:r>
          </w:p>
        </w:tc>
        <w:tc>
          <w:tcPr>
            <w:tcW w:w="3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E0BEAB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Преимущества и системные ограничения</w:t>
            </w:r>
          </w:p>
          <w:p w14:paraId="6CFF9337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2B7FBA" w:rsidRPr="002B7FBA" w14:paraId="09078EE9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22F100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Раннее слияние (</w:t>
            </w: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Early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Fusion)</w:t>
            </w:r>
          </w:p>
        </w:tc>
        <w:tc>
          <w:tcPr>
            <w:tcW w:w="32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844F62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Конкатенация признаков различных модальностей на уровне сырого входа до подачи в единую модель.</w:t>
            </w:r>
          </w:p>
        </w:tc>
        <w:tc>
          <w:tcPr>
            <w:tcW w:w="3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E66043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Высокий риск переобучения. Неприменимо для гетерогенных структур (сигнал + таблица) и независимых когорт пациентов.</w:t>
            </w:r>
          </w:p>
        </w:tc>
      </w:tr>
      <w:tr w:rsidR="002B7FBA" w:rsidRPr="002B7FBA" w14:paraId="23A3E9E7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022656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Промежуточное слияние </w:t>
            </w: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(</w:t>
            </w: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Intermediate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Fusion)</w:t>
            </w:r>
          </w:p>
        </w:tc>
        <w:tc>
          <w:tcPr>
            <w:tcW w:w="32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8572BB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lastRenderedPageBreak/>
              <w:t xml:space="preserve">Обработка модальностей параллельными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энкодерами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с </w:t>
            </w:r>
            <w:r w:rsidRPr="002B7FBA">
              <w:rPr>
                <w:rFonts w:ascii="Times New Roman" w:hAnsi="Times New Roman" w:cs="Times New Roman"/>
                <w:color w:val="auto"/>
              </w:rPr>
              <w:lastRenderedPageBreak/>
              <w:t>объединением скрытых представлений в глубоких слоях.</w:t>
            </w:r>
          </w:p>
        </w:tc>
        <w:tc>
          <w:tcPr>
            <w:tcW w:w="3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8F4055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lastRenderedPageBreak/>
              <w:t xml:space="preserve">Эффективный учет нелинейных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межмодальных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взаимодействий. </w:t>
            </w:r>
            <w:r w:rsidRPr="002B7FBA">
              <w:rPr>
                <w:rFonts w:ascii="Times New Roman" w:hAnsi="Times New Roman" w:cs="Times New Roman"/>
                <w:color w:val="auto"/>
              </w:rPr>
              <w:lastRenderedPageBreak/>
              <w:t>Требует сквозного обучения и полностью синхронизированных парных выборок.</w:t>
            </w:r>
          </w:p>
        </w:tc>
      </w:tr>
      <w:tr w:rsidR="002B7FBA" w:rsidRPr="002B7FBA" w14:paraId="38520161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510168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Позднее слияние (</w:t>
            </w: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Late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Fusion)</w:t>
            </w:r>
          </w:p>
        </w:tc>
        <w:tc>
          <w:tcPr>
            <w:tcW w:w="32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AFDF5A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Независимое обучение моделей для каждой модальности с последующим агрегированием предсказаний или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эмбеддингов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gramStart"/>
            <w:r w:rsidRPr="002B7FBA">
              <w:rPr>
                <w:rFonts w:ascii="Times New Roman" w:hAnsi="Times New Roman" w:cs="Times New Roman"/>
                <w:color w:val="auto"/>
              </w:rPr>
              <w:t>мета-моделью</w:t>
            </w:r>
            <w:proofErr w:type="gramEnd"/>
            <w:r w:rsidRPr="002B7FBA"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3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186119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Оптимально для гетерогенных баз данных. Устойчиво к изолированным пропускам измерений, допускает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ансамблирование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с градиентным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бустингом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</w:tbl>
    <w:p w14:paraId="3D0BC579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30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При агрегации независимых открытых баз (например, сигнальных баз PTB-XL и табличных когорт клинических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биомаркеров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прямое раннее слияние порождает артефакт некорректного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межвыборочного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связывания (эффект «пациента-Франкенштейна»). В таких условиях математически обоснованным решением является исключительно позднее слияние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Late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Fusion) на уровне латентных признаков.</w:t>
      </w:r>
    </w:p>
    <w:p w14:paraId="07A387A1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2.2. Адаптивное вентилируемое слияние (</w:t>
      </w:r>
      <w:proofErr w:type="spellStart"/>
      <w:r w:rsidRPr="002B7FBA">
        <w:rPr>
          <w:rFonts w:ascii="Times New Roman" w:hAnsi="Times New Roman" w:cs="Times New Roman"/>
          <w:color w:val="auto"/>
          <w:sz w:val="28"/>
          <w:szCs w:val="28"/>
        </w:rPr>
        <w:t>Gated</w:t>
      </w:r>
      <w:proofErr w:type="spellEnd"/>
      <w:r w:rsidRPr="002B7FB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8"/>
          <w:szCs w:val="28"/>
        </w:rPr>
        <w:t>Late</w:t>
      </w:r>
      <w:proofErr w:type="spellEnd"/>
      <w:r w:rsidRPr="002B7FBA">
        <w:rPr>
          <w:rFonts w:ascii="Times New Roman" w:hAnsi="Times New Roman" w:cs="Times New Roman"/>
          <w:color w:val="auto"/>
          <w:sz w:val="28"/>
          <w:szCs w:val="28"/>
        </w:rPr>
        <w:t>-Fusion)</w:t>
      </w:r>
    </w:p>
    <w:p w14:paraId="2796E8B5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Развитием концепции позднего слияния являются вентилируемые архитектуры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Gated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Multimodal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Units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 и функционально-линейная модуляция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FiLM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). Вентильная подсеть динамически рассчитывает весовые коэффициенты доверия к каждой модальности. При наличии помех на ЭКГ-сигнале алгоритм автоматически снижает вес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эмбеддингов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кардиограммы, компенсируя итоговую оценку рисков за счет биохимических и клинических параметров пациента [13]. Итоговый объединенный вектор передается в мета-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lastRenderedPageBreak/>
        <w:t>классификатор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XGBoost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/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CatBoost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), обеспечивающий устойчивость к нелинейным взаимодействиям признаков.</w:t>
      </w:r>
    </w:p>
    <w:p w14:paraId="636A2A97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2.3. Обработка неполных данных в клинической практике</w:t>
      </w:r>
    </w:p>
    <w:p w14:paraId="7AF0BD97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Пропуски в клинических регистрах и результатах мониторинга подразделяются на:</w:t>
      </w:r>
    </w:p>
    <w:p w14:paraId="00A648CA" w14:textId="77777777" w:rsidR="00564BD2" w:rsidRPr="002B7FB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полностью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>случайные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(MCAR — Missing Completely At Random);</w:t>
      </w:r>
    </w:p>
    <w:p w14:paraId="06431579" w14:textId="77777777" w:rsidR="00564BD2" w:rsidRPr="002B7FB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случайные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(MAR — Missing At Random);</w:t>
      </w:r>
    </w:p>
    <w:p w14:paraId="569B7D40" w14:textId="77777777" w:rsidR="00564BD2" w:rsidRPr="002B7FB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неслучайные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(MNAR — Missing Not At Random).</w:t>
      </w:r>
    </w:p>
    <w:p w14:paraId="2620F1BA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75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В кардиологии пропуски часто носят характер MNAR (например, отсутствие измерения давления или фракции выброса может быть напрямую связано с тяжестью состояния пациента). Метод полного удаления неполных строк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Complete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Case Analysis) приводит к смещению выборки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selection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bias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и потере статистической мощности [14]. В современных конвейерах стандартом является применение алгоритмов множественной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импутации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: MICE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Multivariate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Imputation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by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Chained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Equations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), алгоритма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MissForest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на базе случайных лесов, а также механизмов кросс-модальной компенсации, при которых признаки временно отсутствующей модальности аппроксимируются сопутствующими модальностями [15].</w:t>
      </w:r>
    </w:p>
    <w:p w14:paraId="58E62F41" w14:textId="77777777" w:rsidR="00564BD2" w:rsidRPr="002B7FBA" w:rsidRDefault="00000000">
      <w:pPr>
        <w:pStyle w:val="2"/>
        <w:spacing w:before="0" w:after="330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 xml:space="preserve">3. Клинические </w:t>
      </w:r>
      <w:proofErr w:type="spellStart"/>
      <w:r w:rsidRPr="002B7FBA">
        <w:rPr>
          <w:rFonts w:ascii="Times New Roman" w:hAnsi="Times New Roman" w:cs="Times New Roman"/>
          <w:color w:val="auto"/>
          <w:sz w:val="32"/>
          <w:szCs w:val="32"/>
        </w:rPr>
        <w:t>биомаркеры</w:t>
      </w:r>
      <w:proofErr w:type="spellEnd"/>
      <w:r w:rsidRPr="002B7FBA">
        <w:rPr>
          <w:rFonts w:ascii="Times New Roman" w:hAnsi="Times New Roman" w:cs="Times New Roman"/>
          <w:color w:val="auto"/>
          <w:sz w:val="32"/>
          <w:szCs w:val="32"/>
        </w:rPr>
        <w:t xml:space="preserve"> и методы компенсации дисбаланса данных</w:t>
      </w:r>
    </w:p>
    <w:p w14:paraId="11AFC3C8" w14:textId="49A858F8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3.1. Клинические и гемодинамические предикторы</w:t>
      </w:r>
    </w:p>
    <w:p w14:paraId="1EF68A1A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Для надежной стратификации сердечно-сосудистого риска вектор ЭКГ-признаков необходимо дополнять гемодинамическими и биохимическими параметрами:</w:t>
      </w:r>
    </w:p>
    <w:p w14:paraId="731CD4FE" w14:textId="77777777" w:rsidR="00564BD2" w:rsidRPr="002B7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Гемодинамические показатели (СМАД):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Суточная нагрузка давлением (BP-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load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), вариабельность систолического/диастолического давления, а также суточный профиль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dipping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status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). Пациенты с нарушенным ночным снижением давления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non-dippers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reverse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dippers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подвержены ускоренному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ремоделированию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миокарда и гипертрофии левого желудочка [16].</w:t>
      </w:r>
    </w:p>
    <w:p w14:paraId="34241467" w14:textId="77777777" w:rsidR="00564BD2" w:rsidRPr="002B7FB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Клинические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биомаркеры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Фракция выброса левого желудочка (LVEF), уровни креатинина сыворотки, натрия, тромбоцитов, гликированного гемоглобина, а также индекс массы тела (BMI) и возрастные показатели.</w:t>
      </w:r>
    </w:p>
    <w:p w14:paraId="672F7E45" w14:textId="77777777" w:rsidR="00564BD2" w:rsidRPr="002B7FBA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3.2. Алгоритмические методы работы с несбалансированными классами</w:t>
      </w:r>
    </w:p>
    <w:p w14:paraId="240C0884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В популяции ранняя бессимптомная сердечная недостаточность (стадия B) составляет миноритарную долю относительно нормы, что приводит к естественному межклассовому дисбалансу (от 1:5 до 1:20). Обучение классификаторов на таких данных без специальной регуляризации приводит к формированию тривиальных моделей с высокой формальной точностью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Accuracy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), но нулевой чувствительностью к патологии.</w:t>
      </w:r>
    </w:p>
    <w:p w14:paraId="7CAF758F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Для устранения дисбаланса применяются следующие методы:</w:t>
      </w:r>
    </w:p>
    <w:p w14:paraId="723DE555" w14:textId="77777777" w:rsidR="00564BD2" w:rsidRPr="002B7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Взвешенные функции потерь (Cost-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sensitive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Learning):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Использование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Weighted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Cross-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Entropy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Focal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Loss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, штрафующих модель за ошибки на примерах миноритарного класса и снижающих градиентный вклад легко классифицируемых объектов [17].</w:t>
      </w:r>
    </w:p>
    <w:p w14:paraId="4B93EDC8" w14:textId="77777777" w:rsidR="00564BD2" w:rsidRPr="002B7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Алгоритмы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ресэмплирования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Применение SMOTE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Synthetic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Minority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Over-sampling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Technique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для табличных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биомаркеров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и аугментация сигналов ЭКГ (добавление масштабированного гауссовского шума, случайные сдвиги по времени без нарушения фазовых соотношений сегментов P-QRS-T) [18].</w:t>
      </w:r>
    </w:p>
    <w:p w14:paraId="0515EDE6" w14:textId="77777777" w:rsidR="00564BD2" w:rsidRPr="002B7FB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Стратифицированное разбиение: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Использование стратифицированной кросс-валидации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Stratified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K-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Fold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), гарантирующей идентичность пропорций целевого класса во всех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фолдах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разбиения.</w:t>
      </w:r>
    </w:p>
    <w:p w14:paraId="355434AC" w14:textId="77777777" w:rsidR="00564BD2" w:rsidRPr="002B7FBA" w:rsidRDefault="00000000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>4. Методы объяснимого искусственного интеллекта (XAI) в кардиологии</w:t>
      </w:r>
    </w:p>
    <w:p w14:paraId="7A757316" w14:textId="5A6A1076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Непрозрачность алгоритмов глубокого обучения («проблема черного ящика») выступает ключевым барьером для их интеграции в клиническую практику. Врач, несущий юридическую ответственность за постановку диагноза, нуждается в интерпретируемом обосновании каждого автоматизированного решения [19].</w:t>
      </w:r>
    </w:p>
    <w:p w14:paraId="06CD1393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r w:rsidRPr="002B7FBA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>Таблица 3. Методы интерпретируемости в кардиологических СППВР</w:t>
      </w:r>
    </w:p>
    <w:tbl>
      <w:tblPr>
        <w:tblStyle w:val="a7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B7FBA" w:rsidRPr="002B7FBA" w14:paraId="2DD448E7" w14:textId="77777777">
        <w:trPr>
          <w:tblHeader/>
        </w:trPr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749631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Метод XAI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B29A97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Анализируемая модальность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E13C97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Математическая основа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DE4D5E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Формат клинической визуализации</w:t>
            </w:r>
          </w:p>
          <w:p w14:paraId="6B4AC0D3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2B7FBA" w:rsidRPr="002B7FBA" w14:paraId="743474DB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3FD9AA9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SHAP (</w:t>
            </w: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Shapley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Additive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exPlanations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232FF1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Табличные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биомаркеры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>, гемодинамика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F315A1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Кооперативная теория игр (значения Шепли); расчет маржинального вклада каждого признака [20].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919CAD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Водопадные диаграммы (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Waterfall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plots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>) и графики пчелиного роя (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Beeswarm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plots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>), показывающие вклад факторов риска.</w:t>
            </w:r>
          </w:p>
        </w:tc>
      </w:tr>
      <w:tr w:rsidR="002B7FBA" w:rsidRPr="002B7FBA" w14:paraId="50A5466E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73F7DD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LIME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F887F7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Табличные признаки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84EECA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Локальная аппроксимация границы решений линейной суррогатной моделью [21].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C98FF9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Столбчатые диаграммы локального веса признаков для конкретного пациента.</w:t>
            </w:r>
          </w:p>
        </w:tc>
      </w:tr>
      <w:tr w:rsidR="002B7FBA" w:rsidRPr="002B7FBA" w14:paraId="1D3E33C9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8BD747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Integrated </w:t>
            </w: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Gradients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(</w:t>
            </w: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Captum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CEBF85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12-канальные временные ряды ЭКГ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962D8E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Численное интегрирование градиентов функции потерь вдоль пути от нейтрального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бейслайна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к входному сигналу [22].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5E6B11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Тепловая карта (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Heatmap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>), наложенная на ленту ЭКГ; подсветка патологических фрагментов (элевация/депрессия ST, уширение QRS).</w:t>
            </w:r>
          </w:p>
        </w:tc>
      </w:tr>
    </w:tbl>
    <w:p w14:paraId="765559DE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300" w:after="375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Комплексное сочетание SHAP для табличных параметров и Integrated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Gradients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для временных рядов ЭКГ обеспечивает двухконтурную интерпретируемость: врач получает количественную оценку влияния биохимических факторов и визуальное подтверждение электрофизиологических нарушений на реальном сигнале.</w:t>
      </w:r>
    </w:p>
    <w:p w14:paraId="43658E29" w14:textId="77777777" w:rsidR="00564BD2" w:rsidRPr="002B7FBA" w:rsidRDefault="00000000">
      <w:pPr>
        <w:pStyle w:val="2"/>
        <w:spacing w:before="0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>5. Клиническая валидация и многомерные метрики эффективности</w:t>
      </w:r>
    </w:p>
    <w:p w14:paraId="2A0BA61E" w14:textId="32066E10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Оценка медицинских классификаторов исключительно метрикой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Accuracy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недопустима ввиду ее нечувствительности к ошибкам второго рода (пропуск больных). В кардиологических исследованиях применяется комплекс взаимодополняющих статистических критериев.</w:t>
      </w:r>
    </w:p>
    <w:p w14:paraId="1BF0A3F8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5.1. Метрики дискриминации и калибровки</w:t>
      </w:r>
    </w:p>
    <w:p w14:paraId="79CF171D" w14:textId="77777777" w:rsidR="00564BD2" w:rsidRPr="002B7F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AUROC (Area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Under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the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ROC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Curve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Интегральная мера ранжирующей способности модели. Для передовых моделей выявления скрытой систолической дисфункции нормативным диапазоном является показатель AUROC 0.85–0.92 [9].</w:t>
      </w:r>
    </w:p>
    <w:p w14:paraId="18B6B251" w14:textId="77777777" w:rsidR="00564BD2" w:rsidRPr="002B7F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AUPRC (Area Under the Precision-Recall Curve):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>Площадь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>под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>кривой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«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>точность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–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>полнота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».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>Является ключевой метрикой в условиях несбалансированных медицинских выборок, так как напрямую штрафует модель за ложноположительные срабатывания на фоне редкого положительного класса [23].</w:t>
      </w:r>
    </w:p>
    <w:p w14:paraId="33E38DCA" w14:textId="77777777" w:rsidR="00564BD2" w:rsidRPr="002B7FB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Чувствительность (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Sensitivity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) и специфичность (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Specificity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proofErr w:type="gram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Фиксируются</w:t>
      </w:r>
      <w:proofErr w:type="gram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на заданном пороге отсечения. Для скрининговых систем приоритетом является максимизация чувствительности (минимизация ложноотрицательных результатов).</w:t>
      </w:r>
    </w:p>
    <w:p w14:paraId="3BC35959" w14:textId="77777777" w:rsidR="00564BD2" w:rsidRPr="002B7FBA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5.2. Индексы реклассификации (NRI и IDI)</w:t>
      </w:r>
    </w:p>
    <w:p w14:paraId="50477270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Для подтверждения практической значимости СППВР разработчик обязан доказать превосходство предложенного алгоритма над устоявшимися шкалами клинического риска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Framingham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, SCORE, PCP-HF):</w:t>
      </w:r>
    </w:p>
    <w:p w14:paraId="5FFE1AFC" w14:textId="77777777" w:rsidR="00564BD2" w:rsidRPr="002B7FB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NRI (Net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Reclassification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Improvement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proofErr w:type="gram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Оценивает</w:t>
      </w:r>
      <w:proofErr w:type="gram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долю пациентов, корректно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lastRenderedPageBreak/>
        <w:t>переведенных новой моделью в более высокую категорию риска среди заболевших и в более низкую — среди оставшихся здоровыми [24].</w:t>
      </w:r>
    </w:p>
    <w:p w14:paraId="325E2FC2" w14:textId="77777777" w:rsidR="00564BD2" w:rsidRPr="002B7FB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IDI (Integrated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Discrimination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Improvement</w:t>
      </w:r>
      <w:proofErr w:type="spellEnd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proofErr w:type="gramStart"/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Отражает</w:t>
      </w:r>
      <w:proofErr w:type="gram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интегральный прирост разности средних предсказанных вероятностей между группами исхода.</w:t>
      </w:r>
    </w:p>
    <w:p w14:paraId="625AE2C4" w14:textId="77777777" w:rsidR="00564BD2" w:rsidRPr="002B7FBA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5.3. Дизайн испытаний и внешняя валидация</w:t>
      </w:r>
    </w:p>
    <w:p w14:paraId="53BA695F" w14:textId="3BB92492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75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Модели, демонстрирующие высокое качество на внутренней выборке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Internal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Validation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), часто деградируют в условиях других стационаров из-за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межаппаратной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вариативности и популяционного сдвига (Domain Shift). Отраслевым стандартом валидации является независимое внешнее тестирование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External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Validation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на географически и хронологически изолированных когортах (например, когорты UK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Biobank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, MIMIC-IV,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eICU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</w:p>
    <w:p w14:paraId="31693821" w14:textId="77777777" w:rsidR="00564BD2" w:rsidRPr="002B7FBA" w:rsidRDefault="00000000">
      <w:pPr>
        <w:pStyle w:val="2"/>
        <w:spacing w:before="0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>6. Нормативно-регуляторные требования к медицинскому ПО (</w:t>
      </w:r>
      <w:proofErr w:type="spellStart"/>
      <w:r w:rsidRPr="002B7FBA">
        <w:rPr>
          <w:rFonts w:ascii="Times New Roman" w:hAnsi="Times New Roman" w:cs="Times New Roman"/>
          <w:color w:val="auto"/>
          <w:sz w:val="32"/>
          <w:szCs w:val="32"/>
        </w:rPr>
        <w:t>SaMD</w:t>
      </w:r>
      <w:proofErr w:type="spellEnd"/>
      <w:r w:rsidRPr="002B7FBA">
        <w:rPr>
          <w:rFonts w:ascii="Times New Roman" w:hAnsi="Times New Roman" w:cs="Times New Roman"/>
          <w:color w:val="auto"/>
          <w:sz w:val="32"/>
          <w:szCs w:val="32"/>
        </w:rPr>
        <w:t>)</w:t>
      </w:r>
    </w:p>
    <w:p w14:paraId="2C9B22EE" w14:textId="4F6351A1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Любое программное обеспечение, генерирующее прогностические или диагностические медицинские заключения, подлежит сертификации как программное обеспечение в качестве медицинского изделия (Software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as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a Medical Device,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SaMD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).</w:t>
      </w:r>
    </w:p>
    <w:p w14:paraId="5697CF3D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>6.1. Регламенты Европейского союза: EU MDR 2017/745 и EU AI Act</w:t>
      </w:r>
    </w:p>
    <w:p w14:paraId="18F63BA4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В рамках Регламента EU MDR 2017/745 кардиологические предиктивные СППВР классифицируются как изделия класса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IIa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или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IIb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. В соответствии с Приложением II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Annex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II MDR) проектная документация должна включать:</w:t>
      </w:r>
    </w:p>
    <w:p w14:paraId="395ACC4F" w14:textId="77777777" w:rsidR="00564BD2" w:rsidRPr="002B7F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Верификацию и валидацию ПО (V&amp;V):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Протоколы тестирования устойчивости к зашумленным данным, граничным значениям и аппаратным сбоям.</w:t>
      </w:r>
    </w:p>
    <w:p w14:paraId="6B5CC258" w14:textId="77777777" w:rsidR="00564BD2" w:rsidRPr="002B7F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Менеджмент рисков (ISO 14971):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Анализ последствий диагностических ошибок (ложноотрицательных и ложноположительных решений) с описанием механизмов отказоустойчивости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fallback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-алгоритмов).</w:t>
      </w:r>
    </w:p>
    <w:p w14:paraId="6098AD64" w14:textId="77777777" w:rsidR="00564BD2" w:rsidRPr="002B7FB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Систему менеджмента качества (ISO 13485 / ISO 42001):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Обеспечение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воспроизводимости процесса обучения моделей,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версионирование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данных (Data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Lineage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и возможность постоянного мониторинга качества работы алгоритма после ввода в эксплуатацию (Post-Market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Surveillance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 [26].</w:t>
      </w:r>
    </w:p>
    <w:p w14:paraId="5C40C63E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27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В соответствии с требованиями Закона об искусственном интеллекте ЕС (EU AI Act), медицинские системы ИИ относятся к системам высокого риска (High-Risk AI Systems), что накладывает обязательства по предотвращению алгоритмической предвзятости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algorithmic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bias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и обязательному обеспечению надзора со стороны человека (Human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Oversight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).</w:t>
      </w:r>
    </w:p>
    <w:p w14:paraId="3C022E76" w14:textId="77777777" w:rsidR="00564BD2" w:rsidRPr="002B7FBA" w:rsidRDefault="00000000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2B7FBA">
        <w:rPr>
          <w:rFonts w:ascii="Times New Roman" w:hAnsi="Times New Roman" w:cs="Times New Roman"/>
          <w:color w:val="auto"/>
          <w:sz w:val="28"/>
          <w:szCs w:val="28"/>
        </w:rPr>
        <w:t xml:space="preserve">6.2. Регуляторные рамки FDA и </w:t>
      </w:r>
      <w:proofErr w:type="spellStart"/>
      <w:r w:rsidRPr="002B7FBA">
        <w:rPr>
          <w:rFonts w:ascii="Times New Roman" w:hAnsi="Times New Roman" w:cs="Times New Roman"/>
          <w:color w:val="auto"/>
          <w:sz w:val="28"/>
          <w:szCs w:val="28"/>
        </w:rPr>
        <w:t>Swissmedic</w:t>
      </w:r>
      <w:proofErr w:type="spellEnd"/>
    </w:p>
    <w:p w14:paraId="3ABD3AF6" w14:textId="77777777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75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В США регуляторный надзор FDA предусматривает одобрение кардиологических ИИ-алгоритмов преимущественно по процедуре 510(k), требующей подтверждения эквивалентности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substantial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equivalence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 существующим клиническим аналогам [27]. Регуляторный орган Швейцарии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Swissmedic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гармонизирует требования с нормами EU MDR, уделяя особое внимание назначению ответственного лица за соблюдение регуляторных требований (PRRC) и непрерывному мониторингу дрейфа моделей (Model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Drift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) [28].</w:t>
      </w:r>
    </w:p>
    <w:p w14:paraId="088BBDE5" w14:textId="77777777" w:rsidR="00564BD2" w:rsidRPr="002B7FBA" w:rsidRDefault="00000000">
      <w:pPr>
        <w:pStyle w:val="2"/>
        <w:spacing w:before="0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>7. Бенчмаркинг передовых отраслевых и исследовательских решений</w:t>
      </w:r>
    </w:p>
    <w:p w14:paraId="7400BB73" w14:textId="0ABEA8ED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r w:rsidRPr="002B7FBA">
        <w:rPr>
          <w:rFonts w:ascii="Times New Roman" w:hAnsi="Times New Roman" w:cs="Times New Roman"/>
          <w:b/>
          <w:bCs/>
          <w:i/>
          <w:iCs/>
          <w:color w:val="auto"/>
        </w:rPr>
        <w:t>Таблица 4. Характеристики ведущих систем искусственного интеллекта в кардиологии</w:t>
      </w:r>
    </w:p>
    <w:tbl>
      <w:tblPr>
        <w:tblStyle w:val="a8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B7FBA" w:rsidRPr="002B7FBA" w14:paraId="0F01B91B" w14:textId="77777777">
        <w:trPr>
          <w:tblHeader/>
        </w:trPr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2432FF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Проект / Разработчик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C5432C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Входные модальности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AE9CFE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Целевой клинический исход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4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C983FB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Ключевые метрики</w:t>
            </w:r>
          </w:p>
          <w:p w14:paraId="46D90781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2B7FBA" w:rsidRPr="002B7FBA" w14:paraId="2F7AF965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270119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i/>
                <w:iCs/>
                <w:color w:val="auto"/>
              </w:rPr>
            </w:pP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EchoNext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2B7FBA">
              <w:rPr>
                <w:rFonts w:ascii="Times New Roman" w:hAnsi="Times New Roman" w:cs="Times New Roman"/>
                <w:i/>
                <w:iCs/>
                <w:color w:val="auto"/>
              </w:rPr>
              <w:t>(Columbia University / CRADLE)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61F015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12-канальная ЭКГ (10 сек)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43FA7E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Структурные заболевания сердца, </w:t>
            </w:r>
            <w:r w:rsidRPr="002B7FBA">
              <w:rPr>
                <w:rFonts w:ascii="Times New Roman" w:hAnsi="Times New Roman" w:cs="Times New Roman"/>
                <w:color w:val="auto"/>
              </w:rPr>
              <w:lastRenderedPageBreak/>
              <w:t>клапанные пороки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ED9BB3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lastRenderedPageBreak/>
              <w:t xml:space="preserve">AUROC: 0.85–0.88; проспективно </w:t>
            </w:r>
            <w:r w:rsidRPr="002B7FBA">
              <w:rPr>
                <w:rFonts w:ascii="Times New Roman" w:hAnsi="Times New Roman" w:cs="Times New Roman"/>
                <w:color w:val="auto"/>
              </w:rPr>
              <w:lastRenderedPageBreak/>
              <w:t>валидирован в мультицентровом исследовании CACTUS (54 000 пациентов) [7].</w:t>
            </w:r>
          </w:p>
        </w:tc>
      </w:tr>
      <w:tr w:rsidR="002B7FBA" w:rsidRPr="002B7FBA" w14:paraId="5CE6698F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BE6997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i/>
                <w:iCs/>
                <w:color w:val="auto"/>
                <w:lang w:val="en-US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  <w:lang w:val="en-US"/>
              </w:rPr>
              <w:lastRenderedPageBreak/>
              <w:t>ECG2HF</w:t>
            </w:r>
            <w:r w:rsidRPr="002B7FBA">
              <w:rPr>
                <w:rFonts w:ascii="Times New Roman" w:hAnsi="Times New Roman" w:cs="Times New Roman"/>
                <w:color w:val="auto"/>
                <w:lang w:val="en-US"/>
              </w:rPr>
              <w:t xml:space="preserve"> </w:t>
            </w:r>
            <w:r w:rsidRPr="002B7FBA">
              <w:rPr>
                <w:rFonts w:ascii="Times New Roman" w:hAnsi="Times New Roman" w:cs="Times New Roman"/>
                <w:i/>
                <w:iCs/>
                <w:color w:val="auto"/>
                <w:lang w:val="en-US"/>
              </w:rPr>
              <w:t>(Mass General Brigham / Harvard)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E58DC9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12-канальная ЭКГ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7D403E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Прогнозирование манифестации СН на горизонте до 10 лет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167DD7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AUROC: 0.84–0.87; статистически значимый прирост реклассификации по шкале NRI (0.16–0.23) относительно PCP-HF [9].</w:t>
            </w:r>
          </w:p>
        </w:tc>
      </w:tr>
      <w:tr w:rsidR="002B7FBA" w:rsidRPr="002B7FBA" w14:paraId="06D4DCC1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6C8598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i/>
                <w:i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PULSE-HF</w:t>
            </w:r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2B7FBA">
              <w:rPr>
                <w:rFonts w:ascii="Times New Roman" w:hAnsi="Times New Roman" w:cs="Times New Roman"/>
                <w:i/>
                <w:iCs/>
                <w:color w:val="auto"/>
              </w:rPr>
              <w:t>(MIT)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4DC83F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ЭКГ + клинические карты EHR (MIMIC-IV)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080348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Падение фракции выброса левого желудочка (LVEF </w:t>
            </w:r>
            <w:proofErr w:type="gramStart"/>
            <w:r w:rsidRPr="002B7FBA">
              <w:rPr>
                <w:rFonts w:ascii="Times New Roman" w:hAnsi="Times New Roman" w:cs="Times New Roman"/>
                <w:color w:val="auto"/>
              </w:rPr>
              <w:t>&lt; 40</w:t>
            </w:r>
            <w:proofErr w:type="gramEnd"/>
            <w:r w:rsidRPr="002B7FBA">
              <w:rPr>
                <w:rFonts w:ascii="Times New Roman" w:hAnsi="Times New Roman" w:cs="Times New Roman"/>
                <w:color w:val="auto"/>
              </w:rPr>
              <w:t>%) за 1 год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72DEA9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AUROC: 0.86; раннее прогнозирование декомпенсации миокарда [29].</w:t>
            </w:r>
          </w:p>
        </w:tc>
      </w:tr>
      <w:tr w:rsidR="002B7FBA" w:rsidRPr="002B7FBA" w14:paraId="3506C4AC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25860C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i/>
                <w:iCs/>
                <w:color w:val="auto"/>
              </w:rPr>
            </w:pPr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>SENSORA / EFAST</w:t>
            </w:r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2B7FBA">
              <w:rPr>
                <w:rFonts w:ascii="Times New Roman" w:hAnsi="Times New Roman" w:cs="Times New Roman"/>
                <w:i/>
                <w:iCs/>
                <w:color w:val="auto"/>
              </w:rPr>
              <w:t>(</w:t>
            </w:r>
            <w:proofErr w:type="spellStart"/>
            <w:r w:rsidRPr="002B7FBA">
              <w:rPr>
                <w:rFonts w:ascii="Times New Roman" w:hAnsi="Times New Roman" w:cs="Times New Roman"/>
                <w:i/>
                <w:iCs/>
                <w:color w:val="auto"/>
              </w:rPr>
              <w:t>Eko</w:t>
            </w:r>
            <w:proofErr w:type="spellEnd"/>
            <w:r w:rsidRPr="002B7FBA">
              <w:rPr>
                <w:rFonts w:ascii="Times New Roman" w:hAnsi="Times New Roman" w:cs="Times New Roman"/>
                <w:i/>
                <w:iCs/>
                <w:color w:val="auto"/>
              </w:rPr>
              <w:t xml:space="preserve"> Health)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943B19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Фонокардиограмма (ФКГ) + 1-канальная ЭКГ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AC0586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Выявление систолической дисфункции (LVEF ≤ 40%)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5CBE8B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Чувствительность: 84.8%, специфичность: 83.7%; одобрено FDA по процедуре 510(k) [30].</w:t>
            </w:r>
          </w:p>
        </w:tc>
      </w:tr>
      <w:tr w:rsidR="002B7FBA" w:rsidRPr="002B7FBA" w14:paraId="70890A39" w14:textId="77777777"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B3BCB8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i/>
                <w:iCs/>
                <w:color w:val="auto"/>
              </w:rPr>
            </w:pPr>
            <w:proofErr w:type="spellStart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Biovitals</w:t>
            </w:r>
            <w:proofErr w:type="spellEnd"/>
            <w:r w:rsidRPr="002B7FBA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Engine</w:t>
            </w:r>
            <w:r w:rsidRPr="002B7FBA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2B7FBA">
              <w:rPr>
                <w:rFonts w:ascii="Times New Roman" w:hAnsi="Times New Roman" w:cs="Times New Roman"/>
                <w:i/>
                <w:iCs/>
                <w:color w:val="auto"/>
              </w:rPr>
              <w:t>(</w:t>
            </w:r>
            <w:proofErr w:type="spellStart"/>
            <w:r w:rsidRPr="002B7FBA">
              <w:rPr>
                <w:rFonts w:ascii="Times New Roman" w:hAnsi="Times New Roman" w:cs="Times New Roman"/>
                <w:i/>
                <w:iCs/>
                <w:color w:val="auto"/>
              </w:rPr>
              <w:t>Biofourmis</w:t>
            </w:r>
            <w:proofErr w:type="spellEnd"/>
            <w:r w:rsidRPr="002B7FBA">
              <w:rPr>
                <w:rFonts w:ascii="Times New Roman" w:hAnsi="Times New Roman" w:cs="Times New Roman"/>
                <w:i/>
                <w:iCs/>
                <w:color w:val="auto"/>
              </w:rPr>
              <w:t>)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5BCE91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Непрерывный мониторинг носимых датчиков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103D7C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>Предотвращение экстренной госпитализации по поводу декомпенсации СН</w:t>
            </w:r>
          </w:p>
        </w:tc>
        <w:tc>
          <w:tcPr>
            <w:tcW w:w="23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13895B" w14:textId="77777777" w:rsidR="00564BD2" w:rsidRPr="002B7F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after="105"/>
              <w:ind w:left="0" w:right="0"/>
              <w:rPr>
                <w:rFonts w:ascii="Times New Roman" w:hAnsi="Times New Roman" w:cs="Times New Roman"/>
                <w:color w:val="auto"/>
              </w:rPr>
            </w:pPr>
            <w:r w:rsidRPr="002B7FBA">
              <w:rPr>
                <w:rFonts w:ascii="Times New Roman" w:hAnsi="Times New Roman" w:cs="Times New Roman"/>
                <w:color w:val="auto"/>
              </w:rPr>
              <w:t xml:space="preserve">Снижение частоты 30-дневных повторных госпитализаций на 24%; статус </w:t>
            </w:r>
            <w:proofErr w:type="spellStart"/>
            <w:r w:rsidRPr="002B7FBA">
              <w:rPr>
                <w:rFonts w:ascii="Times New Roman" w:hAnsi="Times New Roman" w:cs="Times New Roman"/>
                <w:color w:val="auto"/>
              </w:rPr>
              <w:t>Breakthrough</w:t>
            </w:r>
            <w:proofErr w:type="spellEnd"/>
            <w:r w:rsidRPr="002B7FBA">
              <w:rPr>
                <w:rFonts w:ascii="Times New Roman" w:hAnsi="Times New Roman" w:cs="Times New Roman"/>
                <w:color w:val="auto"/>
              </w:rPr>
              <w:t xml:space="preserve"> Device от FDA [31].</w:t>
            </w:r>
          </w:p>
        </w:tc>
      </w:tr>
    </w:tbl>
    <w:p w14:paraId="545A2651" w14:textId="77777777" w:rsidR="00564BD2" w:rsidRPr="002B7FBA" w:rsidRDefault="00000000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 xml:space="preserve">8. Архитектурные рекомендации для разрабатываемой системы </w:t>
      </w:r>
      <w:proofErr w:type="spellStart"/>
      <w:r w:rsidRPr="002B7FBA">
        <w:rPr>
          <w:rFonts w:ascii="Times New Roman" w:hAnsi="Times New Roman" w:cs="Times New Roman"/>
          <w:color w:val="auto"/>
          <w:sz w:val="32"/>
          <w:szCs w:val="32"/>
        </w:rPr>
        <w:t>MedData</w:t>
      </w:r>
      <w:proofErr w:type="spellEnd"/>
      <w:r w:rsidRPr="002B7FBA">
        <w:rPr>
          <w:rFonts w:ascii="Times New Roman" w:hAnsi="Times New Roman" w:cs="Times New Roman"/>
          <w:color w:val="auto"/>
          <w:sz w:val="32"/>
          <w:szCs w:val="32"/>
        </w:rPr>
        <w:t xml:space="preserve"> AI</w:t>
      </w:r>
    </w:p>
    <w:p w14:paraId="217CC3C6" w14:textId="48BCB6D3" w:rsidR="00564BD2" w:rsidRPr="002B7FB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t>На основе проведенного анализа сформулирован комплекс научно-инженерных требований для построения отказоустойчивой СППВР оценки риска сердечной недостаточности:</w:t>
      </w:r>
    </w:p>
    <w:p w14:paraId="4A6F4E4F" w14:textId="77777777" w:rsidR="00564BD2" w:rsidRPr="002B7FB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Реализация трансферного обучения в модуле ЭКГ (Модуль 2):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Применение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предобученной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сверточной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основы ResNet1d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EchoNext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-Mini) с усеченным классификационным слоем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nn.Identity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 для извлечения пространственно-временных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эмбеддингов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размерностью 256 признаков. Данный подход нивелирует проблему дефицита локальных обучающих выборок.</w:t>
      </w:r>
    </w:p>
    <w:p w14:paraId="2B1BFC33" w14:textId="77777777" w:rsidR="00564BD2" w:rsidRPr="002B7FB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Математически строгое позднее слияние (Модуль 3):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Отказ от прямого слияния сырых разнородных когорт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Early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Fusion) в пользу объединения латентных векторов ЭКГ и очищенных табличных клинических предикторов. В качестве базовой </w:t>
      </w:r>
      <w:proofErr w:type="gram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мета-модели</w:t>
      </w:r>
      <w:proofErr w:type="gram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целесообразно использовать ансамбли градиентного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бустинга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XGBoost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), устойчивые к различным шкалам измерений и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мультиколлинеарности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BA6FFA6" w14:textId="77777777" w:rsidR="00564BD2" w:rsidRPr="002B7FB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Двухконтурный модуль интерпретируемости (XAI):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Проектирование интерфейса 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врача с интеграцией алгоритма Integrated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Gradients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(выделение патологических областей P-QRS-T комплексов на виртуальной миллиметровой сетке) и алгоритма SHAP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TreeExplainer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(ранжирование вклада клинических показателей в итоговую стратификацию риска).</w:t>
      </w:r>
    </w:p>
    <w:p w14:paraId="00AA7C51" w14:textId="77777777" w:rsidR="00564BD2" w:rsidRPr="002B7FB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</w:rPr>
      </w:pPr>
      <w:r w:rsidRPr="002B7FBA">
        <w:rPr>
          <w:rFonts w:ascii="Times New Roman" w:hAnsi="Times New Roman" w:cs="Times New Roman"/>
          <w:b/>
          <w:bCs/>
          <w:color w:val="auto"/>
          <w:sz w:val="24"/>
          <w:szCs w:val="24"/>
        </w:rPr>
        <w:t>Комплексный протокол валидации:</w:t>
      </w:r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Валидация алгоритма с обязательным вычислением метрик AUPRC и стратифицированной K-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</w:rPr>
        <w:t>Fold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</w:rPr>
        <w:t xml:space="preserve"> кросс-валидацией. Для доказательства превосходства над стандартными алгоритмами предусмотреть расчет индексов чистой реклассификации (NRI).</w:t>
      </w:r>
    </w:p>
    <w:p w14:paraId="276FF064" w14:textId="77777777" w:rsidR="00564BD2" w:rsidRPr="002B7FBA" w:rsidRDefault="00000000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2B7FBA">
        <w:rPr>
          <w:rFonts w:ascii="Times New Roman" w:hAnsi="Times New Roman" w:cs="Times New Roman"/>
          <w:color w:val="auto"/>
          <w:sz w:val="32"/>
          <w:szCs w:val="32"/>
        </w:rPr>
        <w:t>Список использованных источников</w:t>
      </w:r>
    </w:p>
    <w:p w14:paraId="0C65F251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</w:rPr>
        <w:pict w14:anchorId="7CED6204">
          <v:rect id="_x0000_i1034" style="width:0;height:1.5pt" o:hralign="center" o:hrstd="t" o:hr="t" fillcolor="#a0a0a0" stroked="f"/>
        </w:pic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McDonagh T. A. et al. 2021 ESC Guidelines for the diagnosis and treatment of acute and chronic heart failure // European Heart Journal. – 2021. – Vol. 42, № 36. – P. 3599–3726.</w:t>
      </w:r>
    </w:p>
    <w:p w14:paraId="3E0DBF11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Attia Z. I. et al. Screening for cardiac contractile dysfunction using an artificial intelligence-enabled electrocardiogram // Nature Medicine. – 2019. – Vol. 25, № 1. – P. 70–74.</w:t>
      </w:r>
    </w:p>
    <w:p w14:paraId="3067C2C2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Reyna M. A. et al. Will Two Do? Varying Dimensions in Electrocardiography: The PhysioNet/Computing in Cardiology Challenge 2021 // Computing in Cardiology. – IEEE, 2021. – Vol. 48. – P. 1–4.</w:t>
      </w:r>
    </w:p>
    <w:p w14:paraId="17A76AE4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Wagner P. et al. PTB-XL, a large publicly available electrocardiography dataset // Scientific Data. – 2020. – Vol. 7, № 1. – P. 154.</w:t>
      </w:r>
    </w:p>
    <w:p w14:paraId="0CBC5B36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Kapoor S., Narayanan A. Leakage and the reproducibility crisis in machine-learning-based science // Patterns. – 2023. – Vol. 4, № 9. – P. 100804.</w:t>
      </w:r>
    </w:p>
    <w:p w14:paraId="3103EACE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Hannun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A. Y. et al. Cardiologist-level arrhythmia detection and classification in ambulatory electrocardiograms using a deep neural network // Nature Medicine. – 2019. – Vol. 25, № 1. – P. 65–69.</w:t>
      </w:r>
    </w:p>
    <w:p w14:paraId="7E539F8C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Oikonomou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E. K. et al. Detecting structural heart disease from electrocardiograms using artificial intelligence: the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EchoNext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model // European Heart Journal. – 2024. – Vol. 45, № 22. – P. 1980–1992.</w:t>
      </w:r>
    </w:p>
    <w:p w14:paraId="691CBF55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Ribeiro A. H. et al. Automatic rule-based and neural network-based diagnosis of 12-lead ECG: a deep learning approach // IEEE Transactions on Biomedical Engineering. – 2021. – </w:t>
      </w: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Vol. 68, № 9. – P. 2730–2738.</w:t>
      </w:r>
    </w:p>
    <w:p w14:paraId="0EE51B4A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Khurshid S. et al. Artificial intelligence-enabled electrocardiogram analysis to predict incident heart failure: a retrospective cohort study // The Lancet Digital Health. – 2023. – Vol. 5, № 11. – P. e799–e808.</w:t>
      </w:r>
    </w:p>
    <w:p w14:paraId="06549F95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Bai S., Kolter J. Z.,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Koltun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V. An empirical evaluation of generic convolutional and recurrent networks for sequence modeling //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arXiv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preprint arXiv:1803.01271. – 2018.</w:t>
      </w:r>
    </w:p>
    <w:p w14:paraId="777AC55B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Vaswani A. et al. Attention is all you need // Advances in Neural Information Processing Systems. – 2017. – Vol. 30. – P. 5998–6008.</w:t>
      </w:r>
    </w:p>
    <w:p w14:paraId="3BF23709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Huang C. et al. Multimodal machine learning for cardiovascular disease risk prediction: a systematic review // Frontiers in Cardiovascular Medicine. – 2023. – Vol. 10. – P. 1124589.</w:t>
      </w:r>
    </w:p>
    <w:p w14:paraId="56361B3A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Perez E. et al.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FiLM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: Visual reasoning with a general conditioning layer // Proceedings of the AAAI Conference on Human Computation and Crowdsourcing. – 2018. – Vol. 32, № 1.</w:t>
      </w:r>
    </w:p>
    <w:p w14:paraId="74BF5A6E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Sterne J. A. et al. Multiple imputation for missing data in epidemiological and clinical research: potential and pitfalls // BMJ. – 2009. – Vol. 338. – P. b2393.</w:t>
      </w:r>
    </w:p>
    <w:p w14:paraId="6BFD3069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Stekhoven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D. J.,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Bühlmann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P.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MissForest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—non-parametric missing value imputation for mixed-type data // Bioinformatics. – 2012. – Vol. 28, № 1. – P. 112–118.</w:t>
      </w:r>
    </w:p>
    <w:p w14:paraId="6B370F1F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Williams B. et al. 2018 ESC/ESH Guidelines for the management of arterial hypertension // European Heart Journal. – 2018. – Vol. 39, № 33. – P. 3021–3104.</w:t>
      </w:r>
    </w:p>
    <w:p w14:paraId="3A4C1684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Lin T. Y. et al. Focal loss for dense object detection // Proceedings of the IEEE International Conference on Computer Vision. – 2017. – P. 2980–2988.</w:t>
      </w:r>
    </w:p>
    <w:p w14:paraId="1408A258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Chawla N. V. et al. SMOTE: synthetic minority over-sampling technique // Journal of Artificial Intelligence Research. – 2002. – Vol. 16. – P. 321–357.</w:t>
      </w:r>
    </w:p>
    <w:p w14:paraId="2A48BC06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Amann J. et al. Explainability for artificial intelligence in healthcare: a multidisciplinary perspective // BMC Medical Informatics and Decision Making. – 2020. – Vol. 20, № 1. – P. 1–9.</w:t>
      </w:r>
    </w:p>
    <w:p w14:paraId="4361F28B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Lundberg S. M., Lee S. I. A unified approach to interpreting model predictions // Advances in Neural Information Processing Systems. – 2017. – Vol. 30. – P. 4765–4774.</w:t>
      </w:r>
    </w:p>
    <w:p w14:paraId="1FA29976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Ribeiro M. T., Singh S.,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Guestrin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C. "Why should I trust you?": Explaining the predictions of any classifier // ACM SIGKDD. – 2016. – P. 1135–1144.</w:t>
      </w:r>
    </w:p>
    <w:p w14:paraId="3BE60AFA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Sundararajan M.,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Taly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A., Yan Q. Axiomatic attribution for deep networks // International Conference on Machine Learning. – PMLR, 2017. – P. 3319–3328.</w:t>
      </w:r>
    </w:p>
    <w:p w14:paraId="033FDAC3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 xml:space="preserve">Saito T.,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Rehmsmeier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M. The precision-recall plot is more informative than the ROC plot when evaluating binary classifiers on imbalanced datasets // 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PloS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One. – 2015. – Vol. 10, № 3. – P. e0118432.</w:t>
      </w:r>
    </w:p>
    <w:p w14:paraId="43B81852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Pencina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M. J. et al. Evaluating the added predictive ability of a new marker: from area under the ROC curve to reclassification and beyond // Statistics in Medicine. – 2008. – Vol. 27, № 2. – P. 157–172.</w:t>
      </w:r>
    </w:p>
    <w:p w14:paraId="0889E573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Johnson A. E. et al. MIMIC-IV, a freely accessible electronic health record dataset // Scientific Data. – 2020. – Vol. 7, № 1. – P. 1.</w:t>
      </w:r>
    </w:p>
    <w:p w14:paraId="2D342739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Regulation (EU) 2017/745 of the European Parliament and of the Council of 5 April 2017 on medical devices (MDR) // Official Journal of the European Union. – 2017. – L 117. – P. 1–175.</w:t>
      </w:r>
    </w:p>
    <w:p w14:paraId="44D18342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U.S. Food and Drug Administration. Artificial Intelligence and Machine Learning (AI/ML)-Enabled Medical Devices // FDA White Paper. – 2024.</w:t>
      </w:r>
    </w:p>
    <w:p w14:paraId="34A554BE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Swissmedic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. Guidance Document: Software as a Medical Device (</w:t>
      </w: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SaMD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) and AI applications // Swiss Agency for Therapeutic Products. – Bern, 2023.</w:t>
      </w:r>
    </w:p>
    <w:p w14:paraId="45B0C7BA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Vaid A. et al. Deep learning to predict worsening of heart failure outcomes using multimodality data // Journal of the American College of Cardiology. – 2023. – Vol. 81, № 8. – P. 780–792.</w:t>
      </w:r>
    </w:p>
    <w:p w14:paraId="29EB0815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Bachtiger</w:t>
      </w:r>
      <w:proofErr w:type="spellEnd"/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P. et al. Point-of-care screening for heart failure with reduced ejection fraction using artificial intelligence during ECG-enabled stethoscope examination // The Lancet Digital Health. – 2022. – Vol. 4, № 2. – P. e117–e125.</w:t>
      </w:r>
    </w:p>
    <w:p w14:paraId="38A1DB7B" w14:textId="77777777" w:rsidR="00564BD2" w:rsidRPr="002B7FB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75"/>
        <w:ind w:right="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B7FBA">
        <w:rPr>
          <w:rFonts w:ascii="Times New Roman" w:hAnsi="Times New Roman" w:cs="Times New Roman"/>
          <w:color w:val="auto"/>
          <w:sz w:val="24"/>
          <w:szCs w:val="24"/>
          <w:lang w:val="en-US"/>
        </w:rPr>
        <w:t>Stehlik J. et al. Continuous wearable monitoring for early detection of worsening heart failure // JACC: Heart Failure. – 2020. – Vol. 8, № 6. – P. 451–460.</w:t>
      </w:r>
    </w:p>
    <w:sectPr w:rsidR="00564BD2" w:rsidRPr="002B7FB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C1463AD-B762-4BDB-A0DC-C7A10805EEC4}"/>
    <w:embedBold r:id="rId2" w:fontKey="{7450004E-5A74-4EB7-B5FC-EFE8C23EF814}"/>
    <w:embedItalic r:id="rId3" w:fontKey="{BF9AC5A0-6C4D-44D1-B1F9-2E06BF4ECDC5}"/>
    <w:embedBoldItalic r:id="rId4" w:fontKey="{21C8E215-8168-44F4-BB61-B45F36033A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5F9A6117-EC96-412C-BCD6-0407CD337AEB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BDB0329-31BF-4518-B509-7601339354B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9F836CDE-585E-4004-B06C-7FCC0A4471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7A51"/>
    <w:multiLevelType w:val="multilevel"/>
    <w:tmpl w:val="8DB60B36"/>
    <w:lvl w:ilvl="0">
      <w:start w:val="1"/>
      <w:numFmt w:val="bullet"/>
      <w:lvlText w:val="●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8C19B8"/>
    <w:multiLevelType w:val="multilevel"/>
    <w:tmpl w:val="CAC09EC0"/>
    <w:lvl w:ilvl="0">
      <w:start w:val="1"/>
      <w:numFmt w:val="bullet"/>
      <w:lvlText w:val="●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95530A"/>
    <w:multiLevelType w:val="multilevel"/>
    <w:tmpl w:val="D93ED102"/>
    <w:lvl w:ilvl="0">
      <w:start w:val="1"/>
      <w:numFmt w:val="decimal"/>
      <w:lvlText w:val="%1.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9BE5DDF"/>
    <w:multiLevelType w:val="multilevel"/>
    <w:tmpl w:val="0A4EB6DC"/>
    <w:lvl w:ilvl="0">
      <w:start w:val="1"/>
      <w:numFmt w:val="bullet"/>
      <w:lvlText w:val="●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7583329"/>
    <w:multiLevelType w:val="multilevel"/>
    <w:tmpl w:val="F51E152C"/>
    <w:lvl w:ilvl="0">
      <w:start w:val="1"/>
      <w:numFmt w:val="decimal"/>
      <w:lvlText w:val="%1.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6D0045C"/>
    <w:multiLevelType w:val="multilevel"/>
    <w:tmpl w:val="D65661E2"/>
    <w:lvl w:ilvl="0">
      <w:start w:val="1"/>
      <w:numFmt w:val="decimal"/>
      <w:lvlText w:val="%1.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AA63F7A"/>
    <w:multiLevelType w:val="multilevel"/>
    <w:tmpl w:val="D7429608"/>
    <w:lvl w:ilvl="0">
      <w:start w:val="1"/>
      <w:numFmt w:val="decimal"/>
      <w:lvlText w:val="%1.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41A4A8C"/>
    <w:multiLevelType w:val="multilevel"/>
    <w:tmpl w:val="490232E0"/>
    <w:lvl w:ilvl="0">
      <w:start w:val="1"/>
      <w:numFmt w:val="decimal"/>
      <w:lvlText w:val="%1.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7455E3B"/>
    <w:multiLevelType w:val="multilevel"/>
    <w:tmpl w:val="890C22F4"/>
    <w:lvl w:ilvl="0">
      <w:start w:val="1"/>
      <w:numFmt w:val="decimal"/>
      <w:lvlText w:val="%1."/>
      <w:lvlJc w:val="left"/>
      <w:pPr>
        <w:ind w:left="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4853642">
    <w:abstractNumId w:val="8"/>
  </w:num>
  <w:num w:numId="2" w16cid:durableId="1195801535">
    <w:abstractNumId w:val="1"/>
  </w:num>
  <w:num w:numId="3" w16cid:durableId="83428278">
    <w:abstractNumId w:val="6"/>
  </w:num>
  <w:num w:numId="4" w16cid:durableId="306055786">
    <w:abstractNumId w:val="0"/>
  </w:num>
  <w:num w:numId="5" w16cid:durableId="1367944795">
    <w:abstractNumId w:val="2"/>
  </w:num>
  <w:num w:numId="6" w16cid:durableId="1217937621">
    <w:abstractNumId w:val="3"/>
  </w:num>
  <w:num w:numId="7" w16cid:durableId="611327480">
    <w:abstractNumId w:val="4"/>
  </w:num>
  <w:num w:numId="8" w16cid:durableId="539905227">
    <w:abstractNumId w:val="5"/>
  </w:num>
  <w:num w:numId="9" w16cid:durableId="1418868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BD2"/>
    <w:rsid w:val="002B7FBA"/>
    <w:rsid w:val="00564BD2"/>
    <w:rsid w:val="006B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E5470"/>
  <w15:docId w15:val="{7F282FB0-FEE4-423D-B1E1-3AA830956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ru-RU" w:eastAsia="ru-RU" w:bidi="ar-SA"/>
      </w:rPr>
    </w:rPrDefault>
    <w:pPrDefault>
      <w:pPr>
        <w:widowControl w:val="0"/>
        <w:spacing w:before="600" w:after="600" w:line="360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75"/>
      <w:ind w:left="0" w:right="0"/>
      <w:jc w:val="center"/>
      <w:outlineLvl w:val="0"/>
    </w:pPr>
    <w:rPr>
      <w:b/>
      <w:bCs/>
      <w:color w:val="0F2C59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285"/>
      <w:ind w:left="0" w:right="0"/>
      <w:outlineLvl w:val="1"/>
    </w:pPr>
    <w:rPr>
      <w:b/>
      <w:bCs/>
      <w:color w:val="1F4E78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70" w:after="240"/>
      <w:ind w:left="0" w:right="0"/>
      <w:outlineLvl w:val="2"/>
    </w:pPr>
    <w:rPr>
      <w:b/>
      <w:bCs/>
      <w:color w:val="2F5597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3762</Words>
  <Characters>21450</Characters>
  <Application>Microsoft Office Word</Application>
  <DocSecurity>0</DocSecurity>
  <Lines>178</Lines>
  <Paragraphs>50</Paragraphs>
  <ScaleCrop>false</ScaleCrop>
  <Company>LightKey.Store</Company>
  <LinksUpToDate>false</LinksUpToDate>
  <CharactersWithSpaces>25162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Ермаков</cp:lastModifiedBy>
  <cp:revision>2</cp:revision>
  <dcterms:created xsi:type="dcterms:W3CDTF">2026-09-22T22:18:00Z</dcterms:created>
  <dcterms:modified xsi:type="dcterms:W3CDTF">2026-09-22T22:20:00Z</dcterms:modified>
</cp:coreProperties>
</file>