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量化</w:t>
      </w:r>
    </w:p>
    <w:p>
      <w:pPr>
        <w:pStyle w:val="000004"/>
        <w:rPr/>
      </w:pPr>
      <w:r>
        <w:rPr>
          <w:b w:val="1"/>
        </w:rPr>
        <w:t>第一章：数理统计与建模基础——量化投资的基石</w:t>
      </w:r>
    </w:p>
    <w:p>
      <w:pPr>
        <w:rPr/>
      </w:pPr>
      <w:r>
        <w:rPr/>
        <w:t>1.1 数学与统计：从理论到金融应用</w:t>
      </w:r>
    </w:p>
    <w:p>
      <w:pPr>
        <w:rPr/>
      </w:pPr>
      <w:r>
        <w:rPr/>
        <w:t>量化投资的本质是用数学语言描述市场。高等数学中的微积分是理解连续复利、期权希腊值的基础；线性代数则是处理多维因子模型、协方差矩阵的核心工具。统计推断让基金经理能区分策略盈利是源于能力还是运气——通过假设检验判断夏普比率的显著性，利用置信区间评估收益的稳定性。多元统计分析中的主成分分析可提取市场共性风险因子，因子分析能分解收益来源，而聚类分析则用于股票分类、行业轮动研究。贝叶斯统计提供了动态更新认知的框架：随着新数据到来，不断调整对市场状态的先验判断，形成后验概率，这在市场结构突变时尤为重要；马尔可夫链蒙特卡洛方法能够解决复杂模型的参数估计问题，特别是在高维、非标准分布的场景下。</w:t>
      </w:r>
    </w:p>
    <w:p>
      <w:pPr>
        <w:rPr/>
      </w:pPr>
      <w:r>
        <w:rPr/>
        <w:t>1.2 概率论与随机过程：刻画市场的不确定性</w:t>
      </w:r>
    </w:p>
    <w:p>
      <w:pPr>
        <w:rPr/>
      </w:pPr>
      <w:r>
        <w:rPr/>
        <w:t>金融市场本质是随机过程。概率论基础概念如概率空间定义了所有可能的市场状态，随机变量及其分布描述了资产收益的不确定性。大数定律提醒我们，单一交易结果具有偶然性，只有足够样本才能体现策略期望；中心极限定理则为许多统计检验提供了理论支撑。</w:t>
      </w:r>
    </w:p>
    <w:p>
      <w:pPr>
        <w:rPr/>
      </w:pPr>
      <w:r>
        <w:rPr/>
        <w:t>马尔可夫过程——特别是马尔可夫链——是量化建模的重要工具。在量化交易中，市场状态（如牛市、震荡市、熊市）的转移常被建模为马尔可夫过程，基于当前状态预测未来，用于 regime switching 模型。布朗运动是金融建模的基石，几何布朗运动构成了 Black-Scholes 期权定价模型的核心假设。然而真实市场存在均值回复特性，Ornstein-Uhlenbeck 过程更适合描述价差、配对交易。跳跃扩散过程则能刻画市场中的突然变动、黑天鹅事件。</w:t>
      </w:r>
    </w:p>
    <w:p>
      <w:pPr>
        <w:rPr/>
      </w:pPr>
      <w:r>
        <w:rPr/>
        <w:t>但在实盘中，跳跃的幅度与频率都难以准确估计。2010年美股“闪崩”和2022年英镑“闪崩”都表明，市场跳跃的幅度可以远超历史极值。因此，依赖跳跃扩散模型进行风险管理的策略，必须加入“跳跃幅度不确定性”的缓冲——例如，在计算VaR时，对跳跃组件使用历史最大跳跃的2-3倍进行压力测试。</w:t>
      </w:r>
    </w:p>
    <w:p>
      <w:pPr>
        <w:rPr/>
      </w:pPr>
      <w:r>
        <w:rPr/>
        <w:t>随机微分方程（SDE）是连续时间金融模型的语言。伊藤引理是量化金融的“牛顿第二定律”，它将随机过程与偏微分方程联系起来，是推导期权定价公式的关键。量化基金经理需要理解不同 SDE 的经济含义：GBM 适用于长期增长的股价，OU 过程描述围绕均衡的波动，CIR 过程用于利率建模。更重要的是，要认识这些模型的局限性——市场比任何现有模型都复杂。</w:t>
      </w:r>
    </w:p>
    <w:p>
      <w:pPr>
        <w:rPr/>
      </w:pPr>
      <w:r>
        <w:rPr/>
        <w:t>1.3 时间序列分析：解码市场节奏</w:t>
      </w:r>
    </w:p>
    <w:p>
      <w:pPr>
        <w:rPr/>
      </w:pPr>
      <w:r>
        <w:rPr/>
        <w:t>金融数据本质是时间序列。平稳性是许多模型的前提假设，ADF 检验判断序列是否平稳，不平稳时的协整分析能找到长期均衡关系，这是配对交易的理论基础。ARIMA 模型捕捉序列自身的历史依赖，GARCH 族模型刻画波动率聚类——市场“恐慌传染”的数学表达。</w:t>
      </w:r>
    </w:p>
    <w:p>
      <w:pPr>
        <w:rPr/>
      </w:pPr>
      <w:r>
        <w:rPr/>
        <w:t>VAR 模型可分析多个时间序列间的相互影响，如股、债、商品市场的联动。状态空间模型与卡尔曼滤波能够处理隐含状态估计问题，如估计时变的 beta 或波动率。对于高频交易者，微观结构下的时间序列呈现独特特性：报价更新是离散事件，买卖价差动态变化，需要点过程、生存分析等专门工具。</w:t>
      </w:r>
    </w:p>
    <w:p>
      <w:pPr>
        <w:pStyle w:val="000004"/>
        <w:rPr/>
      </w:pPr>
      <w:r>
        <w:rPr>
          <w:b w:val="1"/>
        </w:rPr>
        <w:t>第二章：机器学习与人工智能——现代量化核心引擎</w:t>
      </w:r>
    </w:p>
    <w:p>
      <w:pPr>
        <w:rPr/>
      </w:pPr>
      <w:r>
        <w:rPr/>
        <w:t>2.1 传统机器学习：经典而强大</w:t>
      </w:r>
    </w:p>
    <w:p>
      <w:pPr>
        <w:rPr/>
      </w:pPr>
      <w:r>
        <w:rPr/>
        <w:t>传统机器学习在金融领域仍不可替代。线性回归、逻辑回归可解释性强，是因子检验的基础工具。树模型（决策树、随机森林、梯度提升树）能自动捕捉非线性关系、交互效应，是 alpha 预测的常用工具。SVM 在小样本、高维数据中表现稳健。无监督学习中的聚类分析可发现市场隐形结构，异常检测可识别极端事件、数据错误。</w:t>
      </w:r>
    </w:p>
    <w:p>
      <w:pPr>
        <w:rPr/>
      </w:pPr>
      <w:r>
        <w:rPr/>
        <w:t>集成方法提升模型鲁棒性：Bagging 降低方差，Boosting 降低偏差，而 Stacking 融合不同模型的优势。在量化中，不同模型可能捕捉市场不同侧面：基本面模型理解价值，技术面模型把握趋势，情绪面模型感知市场情绪，融合它们可得到更全面的视角。</w:t>
      </w:r>
    </w:p>
    <w:p>
      <w:pPr>
        <w:rPr/>
      </w:pPr>
      <w:r>
        <w:rPr/>
        <w:t>2.2 深度学习：处理复杂模式的利器</w:t>
      </w:r>
    </w:p>
    <w:p>
      <w:pPr>
        <w:rPr/>
      </w:pPr>
      <w:r>
        <w:rPr/>
        <w:t>深度学习在特定量化场景中展现优势。CNN 最初为图像设计，但 1D-CNN 可捕捉时间序列的局部模式，用于价格形态识别。RNN 及其变体 LSTM、GRU 专门为序列数据设计，能够记忆长期依赖，适合预测具有记忆性的金融时间序列。Transformer 的注意力机制可让模型关注历史关键时点，在 multi-factor 模型中，它能学习不同因子在不同时期的相对重要性。</w:t>
      </w:r>
    </w:p>
    <w:p>
      <w:pPr>
        <w:rPr/>
      </w:pPr>
      <w:r>
        <w:rPr/>
        <w:t>但金融时序与NLP存在本质差异：价格序列没有明确的“词”边界，且信噪比极低。直接套用标准Transformer容易过拟合。</w:t>
      </w:r>
    </w:p>
    <w:p>
      <w:pPr>
        <w:rPr/>
      </w:pPr>
      <w:r>
        <w:rPr/>
        <w:t>改进方向包括：</w:t>
      </w:r>
    </w:p>
    <w:p>
      <w:pPr>
        <w:rPr/>
      </w:pPr>
      <w:r>
        <w:rPr/>
        <w:t>用状态变化点（如波动率突变、成交量跳升）替代固定长度分割序列；</w:t>
      </w:r>
    </w:p>
    <w:p>
      <w:pPr>
        <w:rPr/>
      </w:pPr>
      <w:r>
        <w:rPr/>
        <w:t>在正弦位置编码中加入时间间隔编码，显式表达交易日与非交易日的间隔；</w:t>
      </w:r>
    </w:p>
    <w:p>
      <w:pPr>
        <w:rPr/>
      </w:pPr>
      <w:r>
        <w:rPr/>
        <w:t>设计多尺度注意力头，使不同头专注于分钟、日、周等不同尺度模式，并通过交叉注意力捕捉跨尺度关联；</w:t>
      </w:r>
    </w:p>
    <w:p>
      <w:pPr>
        <w:rPr/>
      </w:pPr>
      <w:r>
        <w:rPr/>
        <w:t>严格使用因果掩码，杜绝前视偏差；</w:t>
      </w:r>
    </w:p>
    <w:p>
      <w:pPr>
        <w:rPr/>
      </w:pPr>
      <w:r>
        <w:rPr/>
        <w:t>输出层可改为涨/跌/震荡三分类，再结合凯利公式进行仓位分配，而非直接回归价格。</w:t>
      </w:r>
    </w:p>
    <w:p>
      <w:pPr>
        <w:rPr/>
      </w:pPr>
      <w:r>
        <w:rPr/>
        <w:t>强化学习提供了全新的框架：将交易建模为智能体与环境的交互，奖励函数设计是核心——不仅要考虑收益，还要控制风险、成本。生成式模型如 GAN、VAE 可合成历史数据，增加训练样本，但金融数据的时序依赖、分布漂移使这格外挑战。</w:t>
      </w:r>
    </w:p>
    <w:p>
      <w:pPr>
        <w:rPr/>
      </w:pPr>
      <w:r>
        <w:rPr/>
        <w:t>2.3 特征工程：阿尔法的源泉</w:t>
      </w:r>
    </w:p>
    <w:p>
      <w:pPr>
        <w:rPr/>
      </w:pPr>
      <w:r>
        <w:rPr/>
        <w:t>“数据是燃料，特征是引擎”。量化基金经理大部分时间花在特征工程。传统特征包括数百个技术指标（均线、MACD、RSI 等）、基本面因子（估值、质量、成长等）。现代特征工程更多源于另类数据：卫星图像（停车场车辆数预测零售商业绩）、网络爬虫（电商评论情绪）、文本数据（财报电话会议语调分析）。</w:t>
      </w:r>
    </w:p>
    <w:p>
      <w:pPr>
        <w:rPr/>
      </w:pPr>
      <w:r>
        <w:rPr/>
        <w:t>特征变换需要领域知识：金融数据常需标准化处理，但不同标准化方式（z-score、rank、中性化）经济含义不同。特征交互可发现非线性关系，如估值因子与动量因子的交互可能揭示“便宜且正在变好”的股票。更重要的是理解因子的经济逻辑——单纯数据挖掘得到的因子样本外易失效。</w:t>
      </w:r>
    </w:p>
    <w:p>
      <w:pPr>
        <w:rPr/>
      </w:pPr>
      <w:r>
        <w:rPr/>
        <w:t>另类数据的最大陷阱是“未来信息”泄露。例如，用当月的卫星图像预测当季财报，但图像处理和分析需要时间，实盘时当你得到干净信号，财报可能已经发布了。</w:t>
      </w:r>
      <w:r>
        <w:rPr>
          <w:b w:val="1"/>
        </w:rPr>
        <w:t>必须对任何另类数据构建严格的数据获取延迟（Data Lag）时间线</w:t>
      </w:r>
      <w:r>
        <w:rPr/>
        <w:t>，并在回测中严格遵守。此外，另类数据因子通常容量小、衰减快，更适合作为传统因子的增强信号，而非独立策略的核心。</w:t>
      </w:r>
    </w:p>
    <w:p>
      <w:pPr>
        <w:rPr/>
      </w:pPr>
      <w:r>
        <w:rPr/>
        <w:t>2.4 模型开发全流程：从构建到部署</w:t>
      </w:r>
    </w:p>
    <w:p>
      <w:pPr>
        <w:rPr/>
      </w:pPr>
      <w:r>
        <w:rPr/>
        <w:t>模型验证必须考虑金融数据特性。标准 k-fold 交叉验证因时间依赖而失效，需采用时间序列交叉验证，保持时序结构。防止过拟合是量化核心挑战：金融信号微弱、噪音巨大，模型容易学到随机波动而非真实规律。早停法、丢弃法、正则化是技术手段，但更根本的是保持模型简洁、约束参数数量、加入经济先验。过拟合的实战检测方法：</w:t>
      </w:r>
    </w:p>
    <w:p>
      <w:pPr>
        <w:rPr/>
      </w:pPr>
      <w:r>
        <w:rPr/>
        <w:t>敏感性测试：将核心参数微调±10%，若绩效大幅下降，可能过拟合；</w:t>
      </w:r>
    </w:p>
    <w:p>
      <w:pPr>
        <w:rPr/>
      </w:pPr>
      <w:r>
        <w:rPr/>
        <w:t>样本外稳定性：使用前3年训练、后1年验证，若差异显著则过拟合；</w:t>
      </w:r>
    </w:p>
    <w:p>
      <w:pPr>
        <w:rPr/>
      </w:pPr>
      <w:r>
        <w:rPr/>
        <w:t>简单性检验：若线性模型可解决，则不应使用复杂模型；</w:t>
      </w:r>
    </w:p>
    <w:p>
      <w:pPr>
        <w:rPr/>
      </w:pPr>
      <w:r>
        <w:rPr/>
        <w:t>对抗测试：向输入数据注入1%随机噪声，若预测结果剧烈波动，说明模型脆弱。</w:t>
      </w:r>
    </w:p>
    <w:p>
      <w:pPr>
        <w:rPr/>
      </w:pPr>
      <w:r>
        <w:rPr/>
        <w:t>正则化应是系统性思维：特征数 ≤ 数据点数的平方根；每个参数都应有明确的经济学或市场微观结构解释；在损失函数中加入注意力熵正则化，防止注意力权重过度集中于少数时间点。</w:t>
      </w:r>
    </w:p>
    <w:p>
      <w:pPr>
        <w:rPr/>
      </w:pPr>
      <w:r>
        <w:rPr/>
        <w:t>模型融合不仅是技术，更是哲学。不同模型可能在不同市场环境表现优异：趋势模型在牛市中好，反转模型在震荡市中好，动态加权可适应市场变化。模型监控需实时跟踪预测能力衰减，设定明确的失效标准，这需要平衡 Type I 和 Type II 错误——过早放弃可能错失策略恢复期，过晚放弃可能导致大额亏损。</w:t>
      </w:r>
    </w:p>
    <w:p>
      <w:pPr>
        <w:rPr/>
      </w:pPr>
      <w:r>
        <w:rPr>
          <w:b w:val="1"/>
        </w:rPr>
        <w:t>在线学习：在实盘流水中持续进化</w:t>
      </w:r>
    </w:p>
    <w:p>
      <w:pPr>
        <w:rPr/>
      </w:pPr>
      <w:r>
        <w:rPr/>
        <w:t>在传统离线训练-部署的范式之外，</w:t>
      </w:r>
      <w:r>
        <w:rPr>
          <w:b w:val="1"/>
        </w:rPr>
        <w:t>在线学习</w:t>
      </w:r>
      <w:r>
        <w:rPr/>
        <w:t>​ 是实现策略持续适应市场演化的关键机制。其核心是模型能够以</w:t>
      </w:r>
      <w:r>
        <w:rPr>
          <w:b w:val="1"/>
        </w:rPr>
        <w:t>流式</w:t>
      </w:r>
      <w:r>
        <w:rPr/>
        <w:t>方式，基于实盘产生的新数据（包括特征、预测、最终真实收益）进行增量更新。</w:t>
      </w:r>
    </w:p>
    <w:p>
      <w:pPr>
        <w:numPr>
          <w:ilvl w:val="0"/>
          <w:numId w:val="1"/>
        </w:numPr>
        <w:rPr/>
      </w:pPr>
      <w:r>
        <w:rPr>
          <w:b w:val="1"/>
        </w:rPr>
        <w:t>应用场景</w:t>
      </w:r>
      <w:r>
        <w:rPr/>
        <w:t>：</w:t>
      </w:r>
    </w:p>
    <w:p>
      <w:pPr>
        <w:numPr>
          <w:ilvl w:val="1"/>
          <w:numId w:val="1"/>
        </w:numPr>
        <w:rPr/>
      </w:pPr>
      <w:r>
        <w:rPr>
          <w:b w:val="1"/>
        </w:rPr>
        <w:t>市场状态迁移</w:t>
      </w:r>
      <w:r>
        <w:rPr/>
        <w:t>：当检测到市场波动率、相关性结构或主导因子发生结构性变化时，触发模型参数或权重的渐进式调整。</w:t>
      </w:r>
    </w:p>
    <w:p>
      <w:pPr>
        <w:numPr>
          <w:ilvl w:val="1"/>
          <w:numId w:val="1"/>
        </w:numPr>
        <w:rPr/>
      </w:pPr>
      <w:r>
        <w:rPr>
          <w:b w:val="1"/>
        </w:rPr>
        <w:t>处理概念漂移</w:t>
      </w:r>
      <w:r>
        <w:rPr/>
        <w:t>：投资者行为模式、宏观经济机制的变化导致特征与标签关系的“漂移”，在线学习可以缓解模型性能的衰减。</w:t>
      </w:r>
    </w:p>
    <w:p>
      <w:pPr>
        <w:numPr>
          <w:ilvl w:val="1"/>
          <w:numId w:val="1"/>
        </w:numPr>
        <w:rPr/>
      </w:pPr>
      <w:r>
        <w:rPr>
          <w:b w:val="1"/>
        </w:rPr>
        <w:t>高频/超高频策略</w:t>
      </w:r>
      <w:r>
        <w:rPr/>
        <w:t>：在极短时间内，利用最新的订单簿、成交数据进行微调，捕捉瞬时无效性。</w:t>
      </w:r>
    </w:p>
    <w:p>
      <w:pPr>
        <w:numPr>
          <w:ilvl w:val="0"/>
          <w:numId w:val="1"/>
        </w:numPr>
        <w:rPr/>
      </w:pPr>
      <w:r>
        <w:rPr>
          <w:b w:val="1"/>
        </w:rPr>
        <w:t>核心挑战与设计</w:t>
      </w:r>
      <w:r>
        <w:rPr/>
        <w:t>：</w:t>
      </w:r>
    </w:p>
    <w:p>
      <w:pPr>
        <w:numPr>
          <w:ilvl w:val="0"/>
          <w:numId w:val="2"/>
        </w:numPr>
        <w:rPr/>
      </w:pPr>
      <w:r>
        <w:rPr>
          <w:b w:val="1"/>
        </w:rPr>
        <w:t>稳定性-适应性的权衡</w:t>
      </w:r>
      <w:r>
        <w:rPr/>
        <w:t>：过于激进的更新会导致模型受噪声数据影响而剧烈波动；过于保守则无法适应变化。需设计</w:t>
      </w:r>
      <w:r>
        <w:rPr>
          <w:b w:val="1"/>
        </w:rPr>
        <w:t>学习率衰减、动态正则化</w:t>
      </w:r>
      <w:r>
        <w:rPr/>
        <w:t>或</w:t>
      </w:r>
      <w:r>
        <w:rPr>
          <w:b w:val="1"/>
        </w:rPr>
        <w:t>集成专家</w:t>
      </w:r>
      <w:r>
        <w:rPr/>
        <w:t>（如Follow-the-Leading-History）等机制。</w:t>
      </w:r>
    </w:p>
    <w:p>
      <w:pPr>
        <w:numPr>
          <w:ilvl w:val="0"/>
          <w:numId w:val="2"/>
        </w:numPr>
        <w:rPr/>
      </w:pPr>
      <w:r>
        <w:rPr>
          <w:b w:val="1"/>
        </w:rPr>
        <w:t>反馈延迟与部分标记</w:t>
      </w:r>
      <w:r>
        <w:rPr/>
        <w:t>：金融标签（收益）具有长期性和噪声，且真实因果反馈延迟。在线学习必须处理</w:t>
      </w:r>
      <w:r>
        <w:rPr>
          <w:b w:val="1"/>
        </w:rPr>
        <w:t>延迟反馈</w:t>
      </w:r>
      <w:r>
        <w:rPr/>
        <w:t>和</w:t>
      </w:r>
      <w:r>
        <w:rPr>
          <w:b w:val="1"/>
        </w:rPr>
        <w:t>部分可观察</w:t>
      </w:r>
      <w:r>
        <w:rPr/>
        <w:t>的标签，通常需要引入生存分析或伪标签技术。</w:t>
      </w:r>
    </w:p>
    <w:p>
      <w:pPr>
        <w:numPr>
          <w:ilvl w:val="0"/>
          <w:numId w:val="2"/>
        </w:numPr>
        <w:rPr/>
      </w:pPr>
      <w:r>
        <w:rPr>
          <w:b w:val="1"/>
        </w:rPr>
        <w:t>安全护栏</w:t>
      </w:r>
      <w:r>
        <w:rPr/>
        <w:t>：必须建立</w:t>
      </w:r>
      <w:r>
        <w:rPr>
          <w:b w:val="1"/>
        </w:rPr>
        <w:t>更新触发条件</w:t>
      </w:r>
      <w:r>
        <w:rPr/>
        <w:t>（如预测性能连续下滑、数据分布偏移超过阈值）和</w:t>
      </w:r>
      <w:r>
        <w:rPr>
          <w:b w:val="1"/>
        </w:rPr>
        <w:t>回滚机制</w:t>
      </w:r>
      <w:r>
        <w:rPr/>
        <w:t>。任何在线更新前，都应在</w:t>
      </w:r>
      <w:r>
        <w:rPr>
          <w:b w:val="1"/>
        </w:rPr>
        <w:t>模拟实盘环境</w:t>
      </w:r>
      <w:r>
        <w:rPr/>
        <w:t>中通过“影子模式”运行验证。</w:t>
      </w:r>
    </w:p>
    <w:p>
      <w:pPr>
        <w:rPr/>
      </w:pPr>
      <w:r>
        <w:rPr>
          <w:b w:val="1"/>
        </w:rPr>
        <w:t>模型迭代：策略生命周期的系统化管理</w:t>
      </w:r>
    </w:p>
    <w:p>
      <w:pPr>
        <w:rPr/>
      </w:pPr>
      <w:r>
        <w:rPr/>
        <w:t>模型迭代不是简单的重新训练，而是一个与策略研究、实盘风控、IT基础设施紧密耦合的</w:t>
      </w:r>
      <w:r>
        <w:rPr>
          <w:b w:val="1"/>
        </w:rPr>
        <w:t>系统工程</w:t>
      </w:r>
      <w:r>
        <w:rPr/>
        <w:t>。</w:t>
      </w:r>
    </w:p>
    <w:p>
      <w:pPr>
        <w:numPr>
          <w:ilvl w:val="0"/>
          <w:numId w:val="3"/>
        </w:numPr>
        <w:rPr/>
      </w:pPr>
      <w:r>
        <w:rPr>
          <w:b w:val="1"/>
        </w:rPr>
        <w:t>迭代的层次</w:t>
      </w:r>
      <w:r>
        <w:rPr/>
        <w:t>：</w:t>
      </w:r>
    </w:p>
    <w:p>
      <w:pPr>
        <w:numPr>
          <w:ilvl w:val="0"/>
          <w:numId w:val="4"/>
        </w:numPr>
        <w:rPr/>
      </w:pPr>
      <w:r>
        <w:rPr>
          <w:b w:val="1"/>
        </w:rPr>
        <w:t>参数迭代</w:t>
      </w:r>
      <w:r>
        <w:rPr/>
        <w:t>：定期用新数据重训模型，保持特征与系数的最新性。自动化，频率较高。</w:t>
      </w:r>
    </w:p>
    <w:p>
      <w:pPr>
        <w:numPr>
          <w:ilvl w:val="0"/>
          <w:numId w:val="4"/>
        </w:numPr>
        <w:rPr/>
      </w:pPr>
      <w:r>
        <w:rPr>
          <w:b w:val="1"/>
        </w:rPr>
        <w:t>特征/模型结构迭代</w:t>
      </w:r>
      <w:r>
        <w:rPr/>
        <w:t>：引入新的另类数据源、设计新的特征组合、尝试新的模型架构（如从梯度提升树转向时序神经网络）。需严格的前向分析与样本外测试。</w:t>
      </w:r>
    </w:p>
    <w:p>
      <w:pPr>
        <w:numPr>
          <w:ilvl w:val="0"/>
          <w:numId w:val="4"/>
        </w:numPr>
        <w:rPr/>
      </w:pPr>
      <w:r>
        <w:rPr>
          <w:b w:val="1"/>
        </w:rPr>
        <w:t>策略逻辑迭代</w:t>
      </w:r>
      <w:r>
        <w:rPr/>
        <w:t>：改变信号合成方式、仓位管理规则或风险约束。这是最高层次的迭代，涉及核心逻辑变更，需经历完整的</w:t>
      </w:r>
      <w:r>
        <w:rPr>
          <w:b w:val="1"/>
        </w:rPr>
        <w:t>研究-模拟-小实盘-扩大部署</w:t>
      </w:r>
      <w:r>
        <w:rPr/>
        <w:t>流程。</w:t>
      </w:r>
    </w:p>
    <w:p>
      <w:pPr>
        <w:numPr>
          <w:ilvl w:val="0"/>
          <w:numId w:val="3"/>
        </w:numPr>
        <w:rPr/>
      </w:pPr>
      <w:r>
        <w:rPr>
          <w:b w:val="1"/>
        </w:rPr>
        <w:t>迭代流程的关键组件</w:t>
      </w:r>
      <w:r>
        <w:rPr/>
        <w:t>：</w:t>
      </w:r>
    </w:p>
    <w:p>
      <w:pPr>
        <w:numPr>
          <w:ilvl w:val="1"/>
          <w:numId w:val="3"/>
        </w:numPr>
        <w:rPr/>
      </w:pPr>
      <w:r>
        <w:rPr>
          <w:b w:val="1"/>
        </w:rPr>
        <w:t>版本控制一切</w:t>
      </w:r>
      <w:r>
        <w:rPr/>
        <w:t>：代码、模型、特征、参数、实验配置、甚至市场快照，都必须有完整的版本管理和可复现性。</w:t>
      </w:r>
    </w:p>
    <w:p>
      <w:pPr>
        <w:numPr>
          <w:ilvl w:val="1"/>
          <w:numId w:val="3"/>
        </w:numPr>
        <w:rPr/>
      </w:pPr>
      <w:r>
        <w:rPr>
          <w:b w:val="1"/>
        </w:rPr>
        <w:t>自动化流水线</w:t>
      </w:r>
      <w:r>
        <w:rPr/>
        <w:t>：构建从数据准备、特征计算、模型训练、回测评估到性能报告的CI/CD流水线，减少人工干预，提高迭代速度与可靠性。</w:t>
      </w:r>
    </w:p>
    <w:p>
      <w:pPr>
        <w:numPr>
          <w:ilvl w:val="1"/>
          <w:numId w:val="3"/>
        </w:numPr>
        <w:rPr/>
      </w:pPr>
      <w:r>
        <w:rPr>
          <w:b w:val="1"/>
        </w:rPr>
        <w:t>稳健的评估体系</w:t>
      </w:r>
      <w:r>
        <w:rPr/>
        <w:t>：在迭代评估中，不仅要看夏普比率等综合指标，更要深入分析</w:t>
      </w:r>
      <w:r>
        <w:rPr>
          <w:b w:val="1"/>
        </w:rPr>
        <w:t>在特定市场环境下的表现、最大回撤的构成、交易成本敏感性</w:t>
      </w:r>
      <w:r>
        <w:rPr/>
        <w:t>。使用</w:t>
      </w:r>
      <w:r>
        <w:rPr>
          <w:b w:val="1"/>
        </w:rPr>
        <w:t>概率性回测</w:t>
      </w:r>
      <w:r>
        <w:rPr/>
        <w:t>和</w:t>
      </w:r>
      <w:r>
        <w:rPr>
          <w:b w:val="1"/>
        </w:rPr>
        <w:t>场景分析</w:t>
      </w:r>
      <w:r>
        <w:rPr/>
        <w:t>来评估策略的鲁棒性，而非仅仅优化历史净值曲线。</w:t>
      </w:r>
    </w:p>
    <w:p>
      <w:pPr>
        <w:numPr>
          <w:ilvl w:val="1"/>
          <w:numId w:val="3"/>
        </w:numPr>
        <w:rPr/>
      </w:pPr>
      <w:r>
        <w:rPr>
          <w:b w:val="1"/>
        </w:rPr>
        <w:t>知识沉淀与归因</w:t>
      </w:r>
      <w:r>
        <w:rPr/>
        <w:t>：每次迭代，无论成功失败，都必须进行归因分析：性能变化是由市场环境带来，还是由迭代本身带来？将归因结论沉淀到“策略手册”中，形成机构的策略知识库。</w:t>
      </w:r>
    </w:p>
    <w:p>
      <w:pPr>
        <w:rPr/>
      </w:pPr>
      <w:r>
        <w:rPr>
          <w:b w:val="1"/>
        </w:rPr>
        <w:t>核心哲学</w:t>
      </w:r>
      <w:r>
        <w:rPr/>
        <w:t>：一个成功的量化策略不是一个静态的“圣杯”，而是一个具备</w:t>
      </w:r>
      <w:r>
        <w:rPr>
          <w:b w:val="1"/>
        </w:rPr>
        <w:t>感知、适应、学习和进化</w:t>
      </w:r>
      <w:r>
        <w:rPr/>
        <w:t>能力的</w:t>
      </w:r>
      <w:r>
        <w:rPr>
          <w:b w:val="1"/>
        </w:rPr>
        <w:t>动态系统</w:t>
      </w:r>
      <w:r>
        <w:rPr/>
        <w:t>。在线学习是其“自适应”的微调机制，而系统化的模型迭代流程则是其“有计划进化”的宏观框架。两者结合，才能使策略在持续变化的市场中保持生命力。</w:t>
      </w:r>
    </w:p>
    <w:p>
      <w:pPr>
        <w:pStyle w:val="000004"/>
        <w:rPr/>
      </w:pPr>
      <w:r>
        <w:rPr>
          <w:b w:val="1"/>
        </w:rPr>
        <w:t>第三章：金融专业知识体系——量化策略的实质内容</w:t>
      </w:r>
    </w:p>
    <w:p>
      <w:pPr>
        <w:rPr/>
      </w:pPr>
      <w:r>
        <w:rPr/>
        <w:t>3.1 金融理论基础：理解市场定价逻辑</w:t>
      </w:r>
    </w:p>
    <w:p>
      <w:pPr>
        <w:rPr/>
      </w:pPr>
      <w:r>
        <w:rPr/>
        <w:t>资产定价理论是量化的“第一性原理”。CAPM 虽然简单，但提供了风险与收益关系的基本框架；APT 更灵活，允许多个风险因子定价。Fama-French 三因子、五因子模型是实证资产定价的里程碑，但因子本身会随时间变化，需要动态理解。</w:t>
      </w:r>
    </w:p>
    <w:p>
      <w:pPr>
        <w:rPr/>
      </w:pPr>
      <w:r>
        <w:rPr/>
        <w:t>有效市场假说是一个基准而非现实，量化投资的全部前提是市场存在可 exploit 的无效性。但无效性也在变化：随着更多资本追逐相同信号，套利空间被压缩，这要求持续的创新。投资组合优化不仅是数学问题，马科维茨框架的输入（期望收益、协方差矩阵）估计误差巨大，微小变化可导致组合权重巨大变动，需要贝叶斯收缩、稳健优化等技术。</w:t>
      </w:r>
    </w:p>
    <w:p>
      <w:pPr>
        <w:rPr/>
      </w:pPr>
      <w:r>
        <w:rPr/>
        <w:t>期权定价理论不只是对期权交易者重要，它提供了风险中性测度、状态价格密度等概念，这些是理解市场隐含信息的窗口。风险度量中，VaR 因其缺陷备受批评，但在机构中仍是标准；CVaR 更符合风险认知但计算复杂；最大回撤是基金经理和客户最直观感受的痛苦指标。</w:t>
      </w:r>
    </w:p>
    <w:p>
      <w:pPr>
        <w:rPr/>
      </w:pPr>
      <w:r>
        <w:rPr/>
        <w:t>3.2 宏观经济分析：把握系统性格局</w:t>
      </w:r>
    </w:p>
    <w:p>
      <w:pPr>
        <w:rPr/>
      </w:pPr>
      <w:r>
        <w:rPr/>
        <w:t>量化投资常被误解为只看数据、不问经济，实则不然。宏观因子驱动资产价格的系统性部分。基金经理需理解主要宏观指标：并非简单看发布值，而是看与预期的差异、数据的修正趋势。货币政策传导机制决定了流动性如何影响资产价格，不同阶段（宽松期、紧缩期）对股债的影响不同。</w:t>
      </w:r>
    </w:p>
    <w:p>
      <w:pPr>
        <w:rPr/>
      </w:pPr>
      <w:r>
        <w:rPr/>
        <w:t>经济周期理论（基钦、朱格拉、库兹涅茨、康德拉季耶夫周期）提供多时间维度的思考框架。宏观因子模型将经济变量与资产收益直接联系，但宏观数据低频、滞后，需要 nowcasting 技术实时估计当前经济状态。全球资本流动影响汇率、利率，进而影响跨国资产配置。</w:t>
      </w:r>
    </w:p>
    <w:p>
      <w:pPr>
        <w:rPr/>
      </w:pPr>
      <w:r>
        <w:rPr/>
        <w:t>3.3 公司财务与估值：自下而上的根基</w:t>
      </w:r>
    </w:p>
    <w:p>
      <w:pPr>
        <w:rPr/>
      </w:pPr>
      <w:r>
        <w:rPr/>
        <w:t>读懂财务报表是基本功。三张表的勾稽关系可交叉验证数据质量，发现潜在问题。财务比率分析要超越表面计算，理解比率背后的经济实质：高 ROE 源于高杠杆还是高盈利？盈利增长是主业驱动还是非经常性损益？</w:t>
      </w:r>
    </w:p>
    <w:p>
      <w:pPr>
        <w:rPr/>
      </w:pPr>
      <w:r>
        <w:rPr/>
        <w:t>估值模型是连接基本面与价格的桥梁。DCF 模型理论上完美但输入高度主观，对假设极其敏感。相对估值法（PE、PB、PS 等）更实用但依赖可比公司选择，且不同行业适用不同倍数。识别财务造假是保护策略的重要环节：异常应计项目、现金流与利润的持续背离、关联交易异常等都是危险信号。</w:t>
      </w:r>
    </w:p>
    <w:p>
      <w:pPr>
        <w:rPr/>
      </w:pPr>
      <w:r>
        <w:rPr/>
        <w:t>3.4 行为金融学：量化人性的非理性</w:t>
      </w:r>
    </w:p>
    <w:p>
      <w:pPr>
        <w:rPr/>
      </w:pPr>
      <w:r>
        <w:rPr/>
        <w:t>行为金融学是量化投资的重要 alpha 来源。认知偏差系统性地影响投资者决策：过度自信导致过度交易，确认偏误使投资者忽略反面证据，损失厌恶解释了为何下跌时恐慌更剧烈。这些偏差创造了可预测的错误定价。</w:t>
      </w:r>
    </w:p>
    <w:p>
      <w:pPr>
        <w:rPr/>
      </w:pPr>
      <w:r>
        <w:rPr/>
        <w:t>市场异象是行为金融的实证体现。动量效应（赢家继续赢、输家继续输）与反转效应（长期看输家反转）看似矛盾，实则存在于不同时间尺度。规模效应、价值效应、低波动率异象等挑战传统定价理论。构建投资者情绪指标（如 VIX、put-call ratio、散户资金流）可作为 contrarian 信号。行为金融因子如投机度、应计质量、投资效率等，在传统因子之外提供了新的 alpha 维度。</w:t>
      </w:r>
    </w:p>
    <w:p>
      <w:pPr>
        <w:pStyle w:val="000004"/>
        <w:rPr/>
      </w:pPr>
      <w:r>
        <w:rPr>
          <w:b w:val="1"/>
        </w:rPr>
        <w:t>第四章：编程与系统开发及</w:t>
      </w:r>
      <w:r>
        <w:rPr>
          <w:b w:val="1"/>
          <w:shd w:fill="ffffff"/>
        </w:rPr>
        <w:t>策略的诞生——布林带均值回归</w:t>
      </w:r>
    </w:p>
    <w:p>
      <w:pPr>
        <w:rPr/>
      </w:pPr>
      <w:r>
        <w:rPr/>
        <w:t>4.1 编程语言：不同场景的最佳选择</w:t>
      </w:r>
    </w:p>
    <w:p>
      <w:pPr>
        <w:rPr/>
      </w:pPr>
      <w:r>
        <w:rPr/>
        <w:t>Python 已成为量化研究的事实标准，其丰富的库生态系统（Pandas 数据处理、NumPy 数值计算、Scikit-learn 机器学习、PyTorch/TensorFlow 深度学习）极大提高了研究效率。但生产环境对性能要求更高，C++ 在高频交易、高性能计算中仍是首选，其确定性延迟、内存控制是 Python 难以比拟的。</w:t>
      </w:r>
    </w:p>
    <w:p>
      <w:pPr>
        <w:rPr/>
      </w:pPr>
      <w:r>
        <w:rPr/>
        <w:t>SQL 不仅是数据查询语言，复杂的多表连接、窗口函数、CTE 可完成相当部分的数据处理，在数据库端完成可减少数据传输。许多量化系统采用混合架构：研究用 Python 快速迭代，核心交易逻辑用 C++ 实现，数据管理用 SQL。</w:t>
      </w:r>
    </w:p>
    <w:p>
      <w:pPr>
        <w:rPr/>
      </w:pPr>
      <w:r>
        <w:rPr/>
        <w:t>4.2 数据结构与算法：效率的保证</w:t>
      </w:r>
    </w:p>
    <w:p>
      <w:pPr>
        <w:rPr/>
      </w:pPr>
      <w:r>
        <w:rPr/>
        <w:t>数据结构选择直接影响程序性能。数组访问 O(1) 但插入删除昂贵，链表反之，理解这些特性对处理高频数据流很重要。树结构在快速搜索、排序中应用广泛，图论知识在分析股票关联网络、风险传染时有用。</w:t>
      </w:r>
    </w:p>
    <w:p>
      <w:pPr>
        <w:rPr/>
      </w:pPr>
      <w:r>
        <w:rPr/>
        <w:t>算法复杂度分析让基金经理预估策略扩展性：O(n²) 的算法在数据量翻倍时计算时间变为四倍，这在历史回测中可能还能接受，但在实时交易中不可行。动态规划在最优执行、投资组合再平衡中应用，贪心算法在某些约束优化中是实用选择。金融特定算法如订单簿匹配、冰山订单检测、暗池交易优化等，需要专门设计。</w:t>
      </w:r>
    </w:p>
    <w:p>
      <w:pPr>
        <w:rPr/>
      </w:pPr>
      <w:r>
        <w:rPr/>
        <w:t>4.3 高性能计算：应对数据爆炸</w:t>
      </w:r>
    </w:p>
    <w:p>
      <w:pPr>
        <w:rPr/>
      </w:pPr>
      <w:r>
        <w:rPr/>
        <w:t>金融数据量呈指数增长，传统单机计算已不足。并行计算利用多核 CPU，I/O 密集型任务用多线程，CPU 密集型用多进程，但要注意全局解释器锁（GIL）对 Python 多线程的限制。GPU 在矩阵运算、神经网络训练上比 CPU 快数十倍，但数据传输成本高，适合计算密集、数据可批量处理的场景。</w:t>
      </w:r>
    </w:p>
    <w:p>
      <w:pPr>
        <w:rPr/>
      </w:pPr>
      <w:r>
        <w:rPr/>
        <w:t>分布式计算框架（如 Spark、Dask）可将计算任务分配到集群，处理 TB 级数据。内存管理优化包括减少拷贝、使用视图、选择适当数据类型，在 Python 中正确使用 NumPy 的向量化操作可提升百倍性能。</w:t>
      </w:r>
    </w:p>
    <w:p>
      <w:pPr>
        <w:rPr/>
      </w:pPr>
      <w:r>
        <w:rPr/>
        <w:t>4.4 数据库技术：数据的基石</w:t>
      </w:r>
    </w:p>
    <w:p>
      <w:pPr>
        <w:rPr/>
      </w:pPr>
      <w:r>
        <w:rPr/>
        <w:t>关系数据库成熟稳定，支持复杂查询、事务 ACID 特性，适合存储结构化数据、元数据。时序数据库针对时间序列优化，高效存储和查询时间戳数据，支持降采样、流式聚合，是 tick 数据、分钟数据的理想选择。</w:t>
      </w:r>
    </w:p>
    <w:p>
      <w:pPr>
        <w:rPr/>
      </w:pPr>
      <w:r>
        <w:rPr/>
        <w:t>NoSQL 数据库灵活，适合存储非结构化、半结构化数据，如另类数据中的文本、JSON 文档。内存数据库如 Redis 提供亚毫秒级访问，适合缓存、会话存储。数据仓库整合多源数据，OLAP 支持多维分析，便于从不同角度探索数据。</w:t>
      </w:r>
    </w:p>
    <w:p>
      <w:pPr>
        <w:rPr/>
      </w:pPr>
      <w:r>
        <w:rPr/>
        <w:t>4.5 交易系统开发：从信号到执行</w:t>
      </w:r>
    </w:p>
    <w:p>
      <w:pPr>
        <w:rPr/>
      </w:pPr>
      <w:r>
        <w:rPr/>
        <w:t>完整的量化交易系统包括多个模块。数据模块负责采集、清洗、存储各类数据。研究模块支持策略研究、回测。信号生成模块将策略转化为交易信号。风险管理模块监控仓位、风险指标，执行熔断。订单管理模块处理订单路由、状态跟踪。执行模块与券商 API 对接，考虑市场影响、交易成本。</w:t>
      </w:r>
    </w:p>
    <w:p>
      <w:pPr>
        <w:rPr/>
      </w:pPr>
      <w:r>
        <w:rPr/>
        <w:t>回测系统是策略验证的核心，必须避免前视偏差、幸存者偏差、过度拟合。实盘监控需实时跟踪策略表现、市場状况，异常时报警。日志系统记录每个决策、执行细节，供事后分析。系统需高可用、低延迟，关键部件有冗余。</w:t>
      </w:r>
    </w:p>
    <w:p>
      <w:pPr>
        <w:rPr/>
      </w:pPr>
      <w:r>
        <w:rPr/>
        <w:t>4.5.1 实盘与回测的鸿沟：那些回测不会告诉你的​</w:t>
      </w:r>
    </w:p>
    <w:p>
      <w:pPr>
        <w:rPr/>
      </w:pPr>
      <w:r>
        <w:rPr/>
        <w:t>订单成交的不确定性：回测假设信号价即成交价。实盘中有部分成交、全部撤单、交易所拒单等情况。需模拟“订单簿吃单”过程，或至少使用“成交概率模型”进行过滤。</w:t>
      </w:r>
    </w:p>
    <w:p>
      <w:pPr>
        <w:rPr/>
      </w:pPr>
      <w:r>
        <w:rPr/>
        <w:t>策略的“启动期”成本：许多策略（特别是均值回归类）需要先建立一定仓位，才能在波动中获利。这个建仓过程可能在实盘初期产生持续小额亏损，消耗本金与耐心。</w:t>
      </w:r>
    </w:p>
    <w:p>
      <w:pPr>
        <w:rPr/>
      </w:pPr>
      <w:r>
        <w:rPr/>
        <w:t>市场制度的突然变更：如A股的涨跌停幅度调整、科创板引入、港股印花税上调。回测中的历史数据无法反映这些制度突变对策略逻辑的冲击。需要在策略中内置“规则变更监测”模块。</w:t>
      </w:r>
    </w:p>
    <w:p>
      <w:pPr>
        <w:rPr/>
      </w:pPr>
      <w:r>
        <w:rPr/>
        <w:t>竞争对手的进化：当你的同策略竞争对手升级了模型、降低了延迟、增加了资金，你的策略收益会迅速衰减。这是一种动态的、无法在历史回测中模拟的“市场对抗”。</w:t>
      </w:r>
    </w:p>
    <w:p>
      <w:pPr>
        <w:rPr/>
      </w:pPr>
      <w:r>
        <w:rPr>
          <w:b w:val="1"/>
        </w:rPr>
        <w:t>4.6 实盘系统的隐蔽陷阱与容错设计</w:t>
      </w:r>
      <w:r>
        <w:rPr/>
        <w:t>​</w:t>
      </w:r>
    </w:p>
    <w:p>
      <w:pPr>
        <w:rPr/>
      </w:pPr>
      <w:r>
        <w:rPr/>
        <w:t>回测与实盘之间存在巨大鸿沟。关键陷阱包括：</w:t>
      </w:r>
    </w:p>
    <w:p>
      <w:pPr>
        <w:rPr/>
      </w:pPr>
      <w:r>
        <w:rPr/>
        <w:t>前视偏差（Look-ahead Bias）：回测中易误用未来数据，需确保数据严格按时间戳对齐、并延迟一个周期。</w:t>
      </w:r>
    </w:p>
    <w:p>
      <w:pPr>
        <w:rPr/>
      </w:pPr>
      <w:r>
        <w:rPr/>
        <w:t>幸存者偏差（Survivorship Bias）：使用当前成分股回测会高估历史表现，需使用全历史成分股列表或加入已退市股票数据。</w:t>
      </w:r>
    </w:p>
    <w:p>
      <w:pPr>
        <w:rPr/>
      </w:pPr>
      <w:r>
        <w:rPr/>
        <w:t>滑点与冲击成本：回测中常被低估。实盘需根据订单簿流动性动态估算，可基于历史买卖价差中位数与订单规模占成交量的比例建模。</w:t>
      </w:r>
    </w:p>
    <w:p>
      <w:pPr>
        <w:rPr/>
      </w:pPr>
      <w:r>
        <w:rPr/>
        <w:t>策略容量与衰减：一个策略的预期收益与管理的资金规模成反比。需预估策略容量，并在规模接近时停止募资或调整参数。</w:t>
      </w:r>
    </w:p>
    <w:p>
      <w:pPr>
        <w:rPr/>
      </w:pPr>
      <w:r>
        <w:rPr/>
        <w:t>异常处理：实盘代码需包含完整的异常捕获、日志记录与熔断机制。当遇到非交易日、涨跌停、行情中断、交易所故障时，系统应有预设应对策略，而非直接崩溃。</w:t>
      </w:r>
    </w:p>
    <w:p>
      <w:pPr>
        <w:rPr/>
      </w:pPr>
      <w:r>
        <w:rPr>
          <w:b w:val="1"/>
        </w:rPr>
        <w:t xml:space="preserve">4.7 </w:t>
      </w:r>
      <w:r>
        <w:rPr>
          <w:b w:val="1"/>
          <w:shd w:fill="ffffff"/>
        </w:rPr>
        <w:t>实战案例：一个策略的诞生——布林带均值回归的七日之旅</w:t>
      </w:r>
    </w:p>
    <w:p>
      <w:pPr>
        <w:jc w:val="center"/>
        <w:rPr/>
      </w:pPr>
      <w:r>
        <w:rPr/>
        <w:drawing>
          <wp:inline distT="0" distB="0" distL="0" distR="0">
            <wp:extent cx="3810000" cy="193357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3810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b w:val="1"/>
          <w:shd w:fill="ffffff"/>
        </w:rPr>
        <w:t>Day 1：想法</w:t>
      </w:r>
    </w:p>
    <w:p>
      <w:pPr>
        <w:rPr/>
      </w:pPr>
      <w:r>
        <w:rPr>
          <w:b w:val="1"/>
          <w:shd w:fill="ffffff"/>
        </w:rPr>
        <w:t>来源</w:t>
      </w:r>
      <w:r>
        <w:rPr>
          <w:shd w:fill="ffffff"/>
        </w:rPr>
        <w:t>：上证50的K线图，发现当价格连续偏离20日均线超过两个标准差之后，往往会在接下来的3-5天内向均线回归。</w:t>
      </w:r>
    </w:p>
    <w:p>
      <w:pPr>
        <w:rPr/>
      </w:pPr>
      <w:r>
        <w:rPr>
          <w:b w:val="1"/>
          <w:shd w:fill="ffffff"/>
        </w:rPr>
        <w:t>逻辑表述</w:t>
      </w:r>
      <w:r>
        <w:rPr>
          <w:shd w:fill="ffffff"/>
        </w:rPr>
        <w:t>：</w:t>
      </w:r>
    </w:p>
    <w:p>
      <w:pPr>
        <w:rPr/>
      </w:pPr>
      <w:r>
        <w:rPr/>
        <w:t>布林带中轨 = N日简单移动平均（通常N=20）</w:t>
      </w:r>
    </w:p>
    <w:p>
      <w:pPr>
        <w:rPr/>
      </w:pPr>
      <w:r>
        <w:rPr/>
        <w:t>上轨 = 中轨 + K × 标准差（通常K=2）</w:t>
      </w:r>
    </w:p>
    <w:p>
      <w:pPr>
        <w:rPr/>
      </w:pPr>
      <w:r>
        <w:rPr/>
        <w:t>下轨 = 中轨 - K × 标准差</w:t>
      </w:r>
    </w:p>
    <w:p>
      <w:pPr>
        <w:rPr/>
      </w:pPr>
      <w:r>
        <w:rPr/>
        <w:t>当价格</w:t>
      </w:r>
      <w:r>
        <w:rPr>
          <w:b w:val="1"/>
        </w:rPr>
        <w:t>跌破下轨</w:t>
      </w:r>
      <w:r>
        <w:rPr/>
        <w:t>时，认为超卖，开多仓</w:t>
      </w:r>
    </w:p>
    <w:p>
      <w:pPr>
        <w:rPr/>
      </w:pPr>
      <w:r>
        <w:rPr/>
        <w:t>当价格</w:t>
      </w:r>
      <w:r>
        <w:rPr>
          <w:b w:val="1"/>
        </w:rPr>
        <w:t>突破上轨</w:t>
      </w:r>
      <w:r>
        <w:rPr/>
        <w:t>时，认为超买，开空仓</w:t>
      </w:r>
    </w:p>
    <w:p>
      <w:pPr>
        <w:rPr/>
      </w:pPr>
      <w:r>
        <w:rPr/>
        <w:t>当价格</w:t>
      </w:r>
      <w:r>
        <w:rPr>
          <w:b w:val="1"/>
        </w:rPr>
        <w:t>回归中轨</w:t>
      </w:r>
      <w:r>
        <w:rPr/>
        <w:t>时，平仓</w:t>
      </w:r>
    </w:p>
    <w:p>
      <w:pPr>
        <w:rPr/>
      </w:pPr>
      <w:r>
        <w:rPr>
          <w:b w:val="1"/>
          <w:shd w:fill="ffffff"/>
        </w:rPr>
        <w:t>核心假设</w:t>
      </w:r>
      <w:r>
        <w:rPr>
          <w:shd w:fill="ffffff"/>
        </w:rPr>
        <w:t>：价格在短期内会围绕均值波动，极端偏离后会发生回归。</w:t>
      </w:r>
    </w:p>
    <w:p>
      <w:pPr>
        <w:rPr/>
      </w:pPr>
      <w:r>
        <w:rPr>
          <w:b w:val="1"/>
          <w:shd w:fill="ffffff"/>
        </w:rPr>
        <w:t>风险意识</w:t>
      </w:r>
      <w:r>
        <w:rPr>
          <w:shd w:fill="ffffff"/>
        </w:rPr>
        <w:t>：</w:t>
      </w:r>
    </w:p>
    <w:p>
      <w:pPr>
        <w:numPr>
          <w:ilvl w:val="0"/>
          <w:numId w:val="5"/>
        </w:numPr>
        <w:rPr/>
      </w:pPr>
      <w:r>
        <w:rPr/>
        <w:t>在强趋势行情中，价格可能长期贴着轨道走，均值回归会失效</w:t>
      </w:r>
    </w:p>
    <w:p>
      <w:pPr>
        <w:numPr>
          <w:ilvl w:val="0"/>
          <w:numId w:val="5"/>
        </w:numPr>
        <w:rPr/>
      </w:pPr>
      <w:r>
        <w:rPr/>
        <w:t>需要判断市场状态：震荡市适用，趋势市禁用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  <w:shd w:fill="ffffff"/>
        </w:rPr>
        <w:t>Day 2：数据</w:t>
      </w:r>
    </w:p>
    <w:p>
      <w:pPr>
        <w:rPr/>
      </w:pPr>
      <w:r>
        <w:rPr>
          <w:b w:val="1"/>
          <w:shd w:fill="ffffff"/>
        </w:rPr>
        <w:t>数据来源</w:t>
      </w:r>
      <w:r>
        <w:rPr>
          <w:shd w:fill="ffffff"/>
        </w:rPr>
        <w:t>：Tushare Pro / AkShare / 聚宽本地数据</w:t>
      </w:r>
    </w:p>
    <w:p>
      <w:pPr>
        <w:rPr/>
      </w:pPr>
      <w:r>
        <w:rPr>
          <w:b w:val="1"/>
          <w:shd w:fill="ffffff"/>
        </w:rPr>
        <w:t>标的</w:t>
      </w:r>
      <w:r>
        <w:rPr>
          <w:shd w:fill="ffffff"/>
        </w:rPr>
        <w:t>：沪深300指数（</w:t>
      </w:r>
      <w:r>
        <w:rPr/>
        <w:fldChar w:fldCharType="begin"/>
      </w:r>
      <w:r>
        <w:rPr>
          <w:rStyle w:val="000016"/>
        </w:rPr>
        <w:instrText>HYPERLINK 000300.SH normalLink \tdfe -10 \tdlt text \tdsub normalLink \tdkey xtewog</w:instrText>
      </w:r>
      <w:r>
        <w:rPr/>
        <w:fldChar w:fldCharType="separate"/>
      </w:r>
      <w:r>
        <w:rPr>
          <w:rStyle w:val="000016"/>
        </w:rPr>
        <w:t>000300.SH</w:t>
      </w:r>
      <w:r>
        <w:rPr/>
        <w:fldChar w:fldCharType="end"/>
      </w:r>
      <w:r>
        <w:rPr>
          <w:shd w:fill="ffffff"/>
        </w:rPr>
        <w:t>）或一只流动性好的股票（如贵州茅台）</w:t>
      </w:r>
    </w:p>
    <w:p>
      <w:pPr>
        <w:rPr/>
      </w:pPr>
      <w:r>
        <w:rPr>
          <w:b w:val="1"/>
          <w:shd w:fill="ffffff"/>
        </w:rPr>
        <w:t>时间范围</w:t>
      </w:r>
      <w:r>
        <w:rPr>
          <w:shd w:fill="ffffff"/>
        </w:rPr>
        <w:t>：2018年1月1日 - 2025年12月31日（包含完整的牛熊周期）</w:t>
      </w:r>
    </w:p>
    <w:p>
      <w:pPr>
        <w:rPr/>
      </w:pPr>
      <w:r>
        <w:rPr>
          <w:b w:val="1"/>
          <w:shd w:fill="ffffff"/>
        </w:rPr>
        <w:t>代码示例（Python）</w:t>
      </w:r>
      <w:r>
        <w:rPr>
          <w:shd w:fill="ffffff"/>
        </w:rPr>
        <w:t>：</w:t>
      </w:r>
    </w:p>
    <w:p>
      <w:pPr>
        <w:rPr/>
      </w:pPr>
      <w:r>
        <w:rPr/>
        <w:t>python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  <w:shd w:fill="ffffff"/>
        </w:rPr>
        <w:t>Day 3：回测</w:t>
      </w:r>
    </w:p>
    <w:p>
      <w:pPr>
        <w:rPr/>
      </w:pPr>
      <w:r>
        <w:rPr>
          <w:b w:val="1"/>
          <w:shd w:fill="ffffff"/>
        </w:rPr>
        <w:t>策略规则细化</w:t>
      </w:r>
      <w:r>
        <w:rPr>
          <w:shd w:fill="ffffff"/>
        </w:rPr>
        <w:t>：</w:t>
      </w:r>
    </w:p>
    <w:p>
      <w:pPr>
        <w:numPr>
          <w:ilvl w:val="0"/>
          <w:numId w:val="6"/>
        </w:numPr>
        <w:rPr/>
      </w:pPr>
      <w:r>
        <w:rPr>
          <w:b w:val="1"/>
        </w:rPr>
        <w:t>开仓条件</w:t>
      </w:r>
      <w:r>
        <w:rPr/>
        <w:t>：</w:t>
      </w:r>
    </w:p>
    <w:p>
      <w:pPr>
        <w:numPr>
          <w:ilvl w:val="0"/>
          <w:numId w:val="7"/>
        </w:numPr>
        <w:rPr/>
      </w:pPr>
      <w:r>
        <w:rPr/>
        <w:t>多仓：当日最低价 ≤ 下轨，且当前无持仓</w:t>
      </w:r>
    </w:p>
    <w:p>
      <w:pPr>
        <w:numPr>
          <w:ilvl w:val="0"/>
          <w:numId w:val="7"/>
        </w:numPr>
        <w:rPr/>
      </w:pPr>
      <w:r>
        <w:rPr/>
        <w:t>空仓：当日最高价 ≥ 上轨，且当前无持仓</w:t>
      </w:r>
    </w:p>
    <w:p>
      <w:pPr>
        <w:numPr>
          <w:ilvl w:val="0"/>
          <w:numId w:val="6"/>
        </w:numPr>
        <w:rPr/>
      </w:pPr>
      <w:r>
        <w:rPr>
          <w:b w:val="1"/>
        </w:rPr>
        <w:t>平仓条件</w:t>
      </w:r>
      <w:r>
        <w:rPr/>
        <w:t>：</w:t>
      </w:r>
    </w:p>
    <w:p>
      <w:pPr>
        <w:numPr>
          <w:ilvl w:val="0"/>
          <w:numId w:val="8"/>
        </w:numPr>
        <w:rPr/>
      </w:pPr>
      <w:r>
        <w:rPr/>
        <w:t>多仓平仓：当日收盘价 ≥ 中轨</w:t>
      </w:r>
    </w:p>
    <w:p>
      <w:pPr>
        <w:numPr>
          <w:ilvl w:val="0"/>
          <w:numId w:val="8"/>
        </w:numPr>
        <w:rPr/>
      </w:pPr>
      <w:r>
        <w:rPr/>
        <w:t>空仓平仓：当日收盘价 ≤ 中轨</w:t>
      </w:r>
    </w:p>
    <w:p>
      <w:pPr>
        <w:numPr>
          <w:ilvl w:val="0"/>
          <w:numId w:val="6"/>
        </w:numPr>
        <w:rPr/>
      </w:pPr>
      <w:r>
        <w:rPr>
          <w:b w:val="1"/>
        </w:rPr>
        <w:t>仓位管理</w:t>
      </w:r>
      <w:r>
        <w:rPr/>
        <w:t>：固定仓位，每次开仓投入总资金的20%</w:t>
      </w:r>
    </w:p>
    <w:p>
      <w:pPr>
        <w:numPr>
          <w:ilvl w:val="0"/>
          <w:numId w:val="6"/>
        </w:numPr>
        <w:rPr/>
      </w:pPr>
      <w:r>
        <w:rPr>
          <w:b w:val="1"/>
        </w:rPr>
        <w:t>手续费</w:t>
      </w:r>
      <w:r>
        <w:rPr/>
        <w:t>：双边千分之一（暂不计滑点）</w:t>
      </w:r>
    </w:p>
    <w:p>
      <w:pPr>
        <w:rPr/>
      </w:pPr>
      <w:r>
        <w:rPr>
          <w:b w:val="1"/>
          <w:shd w:fill="ffffff"/>
        </w:rPr>
        <w:t>回测代码核心</w:t>
      </w:r>
      <w:r>
        <w:rPr>
          <w:shd w:fill="ffffff"/>
        </w:rPr>
        <w:t>：</w:t>
      </w:r>
    </w:p>
    <w:p>
      <w:pPr>
        <w:rPr/>
      </w:pPr>
      <w:r>
        <w:rPr/>
        <w:t>python</w:t>
      </w:r>
    </w:p>
    <w:p>
      <w:pPr>
        <w:rPr/>
      </w:pPr>
      <w:r>
        <w:rPr>
          <w:b w:val="1"/>
          <w:shd w:fill="ffffff"/>
        </w:rPr>
        <w:t>回测结果（示意）</w:t>
      </w:r>
      <w:r>
        <w:rPr>
          <w:shd w:fill="ffffff"/>
        </w:rPr>
        <w:t>：</w:t>
      </w:r>
    </w:p>
    <w:p>
      <w:pPr>
        <w:jc w:val="center"/>
        <w:rPr/>
      </w:pPr>
      <w:r>
        <w:rPr/>
        <w:drawing>
          <wp:inline distT="0" distB="0" distL="0" distR="0">
            <wp:extent cx="3810000" cy="215265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3810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shd w:fill="ffffff"/>
        </w:rPr>
        <w:t>看起来不错——但真正的检验才刚刚开始。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  <w:shd w:fill="ffffff"/>
        </w:rPr>
        <w:t>Day 4：过拟合检查</w:t>
      </w:r>
    </w:p>
    <w:p>
      <w:pPr>
        <w:rPr/>
      </w:pPr>
      <w:r>
        <w:rPr>
          <w:b w:val="1"/>
          <w:shd w:fill="ffffff"/>
        </w:rPr>
        <w:t>1. 参数敏感性测试</w:t>
      </w:r>
    </w:p>
    <w:p>
      <w:pPr>
        <w:rPr/>
      </w:pPr>
      <w:r>
        <w:rPr>
          <w:b w:val="1"/>
        </w:rPr>
        <w:t>NK年化收益夏普最大回撤</w:t>
      </w:r>
    </w:p>
    <w:p>
      <w:pPr>
        <w:jc w:val="center"/>
        <w:rPr/>
      </w:pPr>
      <w:r>
        <w:rPr/>
        <w:drawing>
          <wp:inline distT="0" distB="0" distL="0" distR="0">
            <wp:extent cx="3810000" cy="169545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3810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b w:val="1"/>
          <w:shd w:fill="ffffff"/>
        </w:rPr>
        <w:t>结论</w:t>
      </w:r>
      <w:r>
        <w:rPr>
          <w:shd w:fill="ffffff"/>
        </w:rPr>
        <w:t>：在±25%的参数范围内，策略表现有波动但没有崩溃。K=2.0、N=20附近确实是较优区间，但并非唯一解。</w:t>
      </w:r>
    </w:p>
    <w:p>
      <w:pPr>
        <w:rPr/>
      </w:pPr>
      <w:r>
        <w:rPr>
          <w:b w:val="1"/>
          <w:shd w:fill="ffffff"/>
        </w:rPr>
        <w:t>2. 样本外测试</w:t>
      </w:r>
    </w:p>
    <w:p>
      <w:pPr>
        <w:rPr/>
      </w:pPr>
      <w:r>
        <w:rPr>
          <w:shd w:fill="ffffff"/>
        </w:rPr>
        <w:t>用前6年训练，后2年验证：</w:t>
      </w:r>
    </w:p>
    <w:p>
      <w:pPr>
        <w:rPr/>
      </w:pPr>
      <w:r>
        <w:rPr/>
        <w:t>训练期（2018-2023）：年化19.1%</w:t>
      </w:r>
    </w:p>
    <w:p>
      <w:pPr>
        <w:rPr/>
      </w:pPr>
      <w:r>
        <w:rPr/>
        <w:t>验证期（2024-2025）：年化15.4%</w:t>
      </w:r>
    </w:p>
    <w:p>
      <w:pPr>
        <w:rPr/>
      </w:pPr>
      <w:r>
        <w:rPr>
          <w:shd w:fill="ffffff"/>
        </w:rPr>
        <w:t>差异可接受，未出现“训练期完美、验证期崩溃”。</w:t>
      </w:r>
    </w:p>
    <w:p>
      <w:pPr>
        <w:rPr/>
      </w:pPr>
      <w:r>
        <w:rPr>
          <w:b w:val="1"/>
          <w:shd w:fill="ffffff"/>
        </w:rPr>
        <w:t>3. 对抗测试：加入1%随机噪声</w:t>
      </w:r>
    </w:p>
    <w:p>
      <w:pPr>
        <w:rPr/>
      </w:pPr>
      <w:r>
        <w:rPr>
          <w:shd w:fill="ffffff"/>
        </w:rPr>
        <w:t>向收盘价添加1%的随机噪声后重新回测：</w:t>
      </w:r>
    </w:p>
    <w:p>
      <w:pPr>
        <w:rPr/>
      </w:pPr>
      <w:r>
        <w:rPr/>
        <w:t>原策略夏普：1.23</w:t>
      </w:r>
    </w:p>
    <w:p>
      <w:pPr>
        <w:rPr/>
      </w:pPr>
      <w:r>
        <w:rPr/>
        <w:t>加噪后夏普：1.15</w:t>
      </w:r>
    </w:p>
    <w:p>
      <w:pPr>
        <w:rPr/>
      </w:pPr>
      <w:r>
        <w:rPr>
          <w:shd w:fill="ffffff"/>
        </w:rPr>
        <w:t>下降约6.5%，模型对微小输入变化有一定鲁棒性。</w:t>
      </w:r>
    </w:p>
    <w:p>
      <w:pPr>
        <w:rPr/>
      </w:pPr>
      <w:r>
        <w:rPr>
          <w:b w:val="1"/>
          <w:shd w:fill="ffffff"/>
        </w:rPr>
        <w:t>4. 简单性检验</w:t>
      </w:r>
    </w:p>
    <w:p>
      <w:pPr>
        <w:rPr/>
      </w:pPr>
      <w:r>
        <w:rPr>
          <w:shd w:fill="ffffff"/>
        </w:rPr>
        <w:t>布林带本质上是线性回归的衍生指标。一个线性模型就能表达的核心逻辑，不需要用复杂模型来“美化”回测。这个策略的简单性是真实的。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  <w:shd w:fill="ffffff"/>
        </w:rPr>
        <w:t>Day 5：交易成本测试</w:t>
      </w:r>
    </w:p>
    <w:p>
      <w:pPr>
        <w:rPr/>
      </w:pPr>
      <w:r>
        <w:rPr>
          <w:b w:val="1"/>
          <w:shd w:fill="ffffff"/>
        </w:rPr>
        <w:t>成本结构假设</w:t>
      </w:r>
      <w:r>
        <w:rPr>
          <w:shd w:fill="ffffff"/>
        </w:rPr>
        <w:t>：</w:t>
      </w:r>
    </w:p>
    <w:p>
      <w:pPr>
        <w:rPr/>
      </w:pPr>
      <w:r>
        <w:rPr/>
        <w:t>佣金：双边万分之一</w:t>
      </w:r>
    </w:p>
    <w:p>
      <w:pPr>
        <w:rPr/>
      </w:pPr>
      <w:r>
        <w:rPr/>
        <w:t>印花税：卖出千分之一（A股）</w:t>
      </w:r>
    </w:p>
    <w:p>
      <w:pPr>
        <w:rPr/>
      </w:pPr>
      <w:r>
        <w:rPr/>
        <w:t>滑点：0.05%（中等流动性标的）</w:t>
      </w:r>
    </w:p>
    <w:p>
      <w:pPr>
        <w:rPr/>
      </w:pPr>
      <w:r>
        <w:rPr>
          <w:b w:val="1"/>
          <w:shd w:fill="ffffff"/>
        </w:rPr>
        <w:t>计入成本后的回测</w:t>
      </w:r>
      <w:r>
        <w:rPr>
          <w:shd w:fill="ffffff"/>
        </w:rPr>
        <w:t>：</w:t>
      </w:r>
    </w:p>
    <w:p>
      <w:pPr>
        <w:rPr/>
      </w:pPr>
      <w:r>
        <w:rPr>
          <w:b w:val="1"/>
        </w:rPr>
        <w:t>指标成本前成本后</w:t>
      </w:r>
      <w:r>
        <w:rPr/>
        <w:t>年化收益18.2%13.7%夏普比率1.230.91胜率54%51%</w:t>
      </w:r>
    </w:p>
    <w:p>
      <w:pPr>
        <w:rPr/>
      </w:pPr>
      <w:r>
        <w:rPr>
          <w:b w:val="1"/>
          <w:shd w:fill="ffffff"/>
        </w:rPr>
        <w:t>结论</w:t>
      </w:r>
      <w:r>
        <w:rPr>
          <w:shd w:fill="ffffff"/>
        </w:rPr>
        <w:t>：成本吞噬了约1/4的利润。实盘必须选择流动性极好的标的，否则滑点会进一步扩大。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  <w:shd w:fill="ffffff"/>
        </w:rPr>
        <w:t>Day 6：小资金实盘</w:t>
      </w:r>
    </w:p>
    <w:p>
      <w:pPr>
        <w:rPr/>
      </w:pPr>
      <w:r>
        <w:rPr>
          <w:b w:val="1"/>
          <w:shd w:fill="ffffff"/>
        </w:rPr>
        <w:t>资金规模</w:t>
      </w:r>
      <w:r>
        <w:rPr>
          <w:shd w:fill="ffffff"/>
        </w:rPr>
        <w:t>：1万元（20个交易日）</w:t>
      </w:r>
    </w:p>
    <w:p>
      <w:pPr>
        <w:rPr/>
      </w:pPr>
      <w:r>
        <w:rPr>
          <w:b w:val="1"/>
          <w:shd w:fill="ffffff"/>
        </w:rPr>
        <w:t>实盘记录（节选）</w:t>
      </w:r>
      <w:r>
        <w:rPr>
          <w:shd w:fill="ffffff"/>
        </w:rPr>
        <w:t>：</w:t>
      </w:r>
    </w:p>
    <w:p>
      <w:pPr>
        <w:jc w:val="center"/>
        <w:rPr/>
      </w:pPr>
      <w:r>
        <w:rPr/>
        <w:drawing>
          <wp:inline distT="0" distB="0" distL="0" distR="0">
            <wp:extent cx="3810000" cy="132397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3810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b w:val="1"/>
          <w:shd w:fill="ffffff"/>
        </w:rPr>
        <w:t>一个月结果</w:t>
      </w:r>
      <w:r>
        <w:rPr>
          <w:shd w:fill="ffffff"/>
        </w:rPr>
        <w:t>：</w:t>
      </w:r>
    </w:p>
    <w:p>
      <w:pPr>
        <w:numPr>
          <w:ilvl w:val="0"/>
          <w:numId w:val="9"/>
        </w:numPr>
        <w:rPr/>
      </w:pPr>
      <w:r>
        <w:rPr/>
        <w:t>收益率：+1.2%</w:t>
      </w:r>
    </w:p>
    <w:p>
      <w:pPr>
        <w:numPr>
          <w:ilvl w:val="0"/>
          <w:numId w:val="9"/>
        </w:numPr>
        <w:rPr/>
      </w:pPr>
      <w:r>
        <w:rPr/>
        <w:t>最大回撤：-3.8%</w:t>
      </w:r>
    </w:p>
    <w:p>
      <w:pPr>
        <w:numPr>
          <w:ilvl w:val="0"/>
          <w:numId w:val="9"/>
        </w:numPr>
        <w:rPr/>
      </w:pPr>
      <w:r>
        <w:rPr/>
        <w:t>交易次数：6次</w:t>
      </w:r>
    </w:p>
    <w:p>
      <w:pPr>
        <w:numPr>
          <w:ilvl w:val="0"/>
          <w:numId w:val="9"/>
        </w:numPr>
        <w:rPr/>
      </w:pPr>
      <w:r>
        <w:rPr/>
        <w:t>胜率：50%</w:t>
      </w:r>
    </w:p>
    <w:p>
      <w:pPr>
        <w:rPr/>
      </w:pPr>
      <w:r>
        <w:rPr>
          <w:b w:val="1"/>
          <w:shd w:fill="ffffff"/>
        </w:rPr>
        <w:t>实盘暴露的新问题</w:t>
      </w:r>
      <w:r>
        <w:rPr>
          <w:shd w:fill="ffffff"/>
        </w:rPr>
        <w:t>：</w:t>
      </w:r>
    </w:p>
    <w:p>
      <w:pPr>
        <w:numPr>
          <w:ilvl w:val="0"/>
          <w:numId w:val="10"/>
        </w:numPr>
        <w:rPr/>
      </w:pPr>
      <w:r>
        <w:rPr>
          <w:b w:val="1"/>
        </w:rPr>
        <w:t>盘中信号 vs 收盘确认</w:t>
      </w:r>
      <w:r>
        <w:rPr/>
        <w:t>：如果等到收盘确认信号，价格已经反弹，利润空间被压缩。</w:t>
      </w:r>
    </w:p>
    <w:p>
      <w:pPr>
        <w:numPr>
          <w:ilvl w:val="0"/>
          <w:numId w:val="10"/>
        </w:numPr>
        <w:rPr/>
      </w:pPr>
      <w:r>
        <w:rPr>
          <w:b w:val="1"/>
        </w:rPr>
        <w:t>订单簿深度不足</w:t>
      </w:r>
      <w:r>
        <w:rPr/>
        <w:t>：某次信号触发时，卖一档只有300股，我的订单需要500股，被迫吃卖二档，滑点放大到0.12%。</w:t>
      </w:r>
    </w:p>
    <w:p>
      <w:pPr>
        <w:numPr>
          <w:ilvl w:val="0"/>
          <w:numId w:val="10"/>
        </w:numPr>
        <w:rPr/>
      </w:pPr>
      <w:r>
        <w:rPr>
          <w:b w:val="1"/>
        </w:rPr>
        <w:t>心理干扰</w:t>
      </w:r>
      <w:r>
        <w:rPr/>
        <w:t>：连续两笔亏损后，第三笔信号出现时犹豫了3秒，错过了最佳价格。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  <w:shd w:fill="ffffff"/>
        </w:rPr>
        <w:t>Day 7：复盘</w:t>
      </w:r>
    </w:p>
    <w:p>
      <w:pPr>
        <w:rPr/>
      </w:pPr>
      <w:r>
        <w:rPr>
          <w:b w:val="1"/>
          <w:shd w:fill="ffffff"/>
        </w:rPr>
        <w:t>差距分析</w:t>
      </w:r>
      <w:r>
        <w:rPr>
          <w:shd w:fill="ffffff"/>
        </w:rPr>
        <w:t>：</w:t>
      </w:r>
    </w:p>
    <w:p>
      <w:pPr>
        <w:jc w:val="center"/>
        <w:rPr/>
      </w:pPr>
      <w:r>
        <w:rPr/>
        <w:drawing>
          <wp:inline distT="0" distB="0" distL="0" distR="0">
            <wp:extent cx="3810000" cy="124777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3810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b w:val="1"/>
          <w:shd w:fill="ffffff"/>
        </w:rPr>
        <w:t>策略是否值得继续</w:t>
      </w:r>
      <w:r>
        <w:rPr>
          <w:shd w:fill="ffffff"/>
        </w:rPr>
        <w:t>：</w:t>
      </w:r>
      <w:r>
        <w:rPr>
          <w:b w:val="1"/>
          <w:shd w:fill="ffffff"/>
        </w:rPr>
        <w:t>是</w:t>
      </w:r>
      <w:r>
        <w:rPr>
          <w:shd w:fill="ffffff"/>
        </w:rPr>
        <w:t>，但需要调整：</w:t>
      </w:r>
    </w:p>
    <w:p>
      <w:pPr>
        <w:numPr>
          <w:ilvl w:val="0"/>
          <w:numId w:val="11"/>
        </w:numPr>
        <w:rPr/>
      </w:pPr>
      <w:r>
        <w:rPr>
          <w:b w:val="1"/>
        </w:rPr>
        <w:t>增加市场状态过滤</w:t>
      </w:r>
      <w:r>
        <w:rPr/>
        <w:t>：加入ADX指标，当ADX &gt; 25时暂停策略（强趋势行情）</w:t>
      </w:r>
    </w:p>
    <w:p>
      <w:pPr>
        <w:numPr>
          <w:ilvl w:val="0"/>
          <w:numId w:val="11"/>
        </w:numPr>
        <w:rPr/>
      </w:pPr>
      <w:r>
        <w:rPr>
          <w:b w:val="1"/>
        </w:rPr>
        <w:t>只做多</w:t>
      </w:r>
      <w:r>
        <w:rPr/>
        <w:t>：A股做空成本高，改为只做多，降低摩擦成本</w:t>
      </w:r>
    </w:p>
    <w:p>
      <w:pPr>
        <w:numPr>
          <w:ilvl w:val="0"/>
          <w:numId w:val="11"/>
        </w:numPr>
        <w:rPr/>
      </w:pPr>
      <w:r>
        <w:rPr>
          <w:b w:val="1"/>
        </w:rPr>
        <w:t>自适应参数</w:t>
      </w:r>
      <w:r>
        <w:rPr/>
        <w:t>：波动率上升时K相应放大，避免频繁开仓</w:t>
      </w:r>
    </w:p>
    <w:p>
      <w:pPr>
        <w:rPr/>
      </w:pPr>
      <w:r>
        <w:rPr>
          <w:b w:val="1"/>
          <w:shd w:fill="ffffff"/>
        </w:rPr>
        <w:t>下一步计划</w:t>
      </w:r>
      <w:r>
        <w:rPr>
          <w:shd w:fill="ffffff"/>
        </w:rPr>
        <w:t>：</w:t>
      </w:r>
    </w:p>
    <w:p>
      <w:pPr>
        <w:rPr/>
      </w:pPr>
      <w:r>
        <w:rPr/>
        <w:t>修改策略代码，加入</w:t>
      </w:r>
      <w:r>
        <w:rPr>
          <w:shd w:fill="ffffff"/>
        </w:rPr>
        <w:t>ADX</w:t>
      </w:r>
      <w:r>
        <w:rPr/>
        <w:t>市场状态</w:t>
      </w:r>
      <w:r>
        <w:rPr>
          <w:shd w:fill="ffffff"/>
        </w:rPr>
        <w:t>过滤器，</w:t>
      </w:r>
      <w:r>
        <w:rPr/>
        <w:t>回测验证改进版本</w:t>
      </w:r>
    </w:p>
    <w:p>
      <w:pPr>
        <w:rPr/>
      </w:pPr>
      <w:r>
        <w:rPr/>
        <w:t>再跑一个月小资金实盘，目标从“盈利”变为“稳定执行”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回测里的“完美”和实盘里的“活着”是两件事，</w:t>
      </w:r>
      <w:r>
        <w:rPr>
          <w:shd w:fill="ffffff"/>
        </w:rPr>
        <w:t>这七天里经历的，不是一个策略的成败，而是</w:t>
      </w:r>
      <w:r>
        <w:rPr>
          <w:b w:val="1"/>
          <w:shd w:fill="ffffff"/>
        </w:rPr>
        <w:t>一个量化交易员必须走过的路</w:t>
      </w:r>
      <w:r>
        <w:rPr>
          <w:shd w:fill="ffffff"/>
        </w:rPr>
        <w:t>。当你的策略连续亏损、当你的模型失效、当你的手开始发抖的时候，你靠什么撑下去。</w:t>
      </w:r>
      <w:r>
        <w:rPr/>
        <w:t>一个策略真正的价值，不在于它赚了多少，而在于它亏的时候你还能相信它。</w:t>
      </w:r>
    </w:p>
    <w:p>
      <w:pPr>
        <w:pStyle w:val="000004"/>
        <w:rPr/>
      </w:pPr>
      <w:r>
        <w:rPr>
          <w:b w:val="1"/>
        </w:rPr>
        <w:t>第五章：投资心理与纪律——长期盈利的保障</w:t>
      </w:r>
    </w:p>
    <w:p>
      <w:pPr>
        <w:rPr/>
      </w:pPr>
      <w:r>
        <w:rPr/>
        <w:t>5.1 情绪控制：理性决策的前提</w:t>
      </w:r>
    </w:p>
    <w:p>
      <w:pPr>
        <w:rPr/>
      </w:pPr>
      <w:r>
        <w:rPr/>
        <w:t>市场是群体情绪的放大器，量化基金经理自身也会受影响。压力管理不是消除压力，而是与压力共存：在回撤期、策略失效期保持冷静。决策疲劳是真实存在的认知资源耗竭，重要决策应在头脑清醒时做，建立决策规则减少临时判断。</w:t>
      </w:r>
    </w:p>
    <w:p>
      <w:pPr>
        <w:rPr/>
      </w:pPr>
      <w:r>
        <w:rPr/>
        <w:t>“沉没成本”陷阱让投资者持有亏损头寸过久，期望“回本”，量化系统应设定硬性止损规则。确认偏误使人们寻找支持自己观点的信息，量化需主动寻找 disconfirming evidence。建立理性决策机制：检查清单、预承诺机制、决策委员会等制度性约束。</w:t>
      </w:r>
    </w:p>
    <w:p>
      <w:pPr>
        <w:rPr/>
      </w:pPr>
      <w:r>
        <w:rPr/>
        <w:t>5.2 风险意识：生存第一的哲学</w:t>
      </w:r>
    </w:p>
    <w:p>
      <w:pPr>
        <w:rPr/>
      </w:pPr>
      <w:r>
        <w:rPr/>
        <w:t>风险不只是数字，是对不确定性的敬畏。理解不确定性的不同层次：风险（已知未知）、模糊性（未知未知）、根本不确定性。黑天鹅事件虽然罕见，但影响巨大，需在组合中预留冗余、降低杠杆、购买尾部保护。</w:t>
      </w:r>
    </w:p>
    <w:p>
      <w:pPr>
        <w:rPr/>
      </w:pPr>
      <w:r>
        <w:rPr/>
        <w:t>应对黑天鹅的实战方法：</w:t>
      </w:r>
    </w:p>
    <w:p>
      <w:pPr>
        <w:numPr>
          <w:ilvl w:val="0"/>
          <w:numId w:val="12"/>
        </w:numPr>
        <w:rPr/>
      </w:pPr>
      <w:r>
        <w:rPr/>
        <w:t>尾部分析：不仅计算VaR，更应关注CVaR，即最差5%情况下的平均损失。</w:t>
      </w:r>
    </w:p>
    <w:p>
      <w:pPr>
        <w:numPr>
          <w:ilvl w:val="0"/>
          <w:numId w:val="12"/>
        </w:numPr>
        <w:rPr/>
      </w:pPr>
      <w:r>
        <w:rPr/>
        <w:t>压力测试：不仅回顾历史危机（2008、2020），还需构建未发生但合理的极端情景，如主要央行政策急转、地缘冲突升级、关键金融机构违约。</w:t>
      </w:r>
    </w:p>
    <w:p>
      <w:pPr>
        <w:numPr>
          <w:ilvl w:val="0"/>
          <w:numId w:val="12"/>
        </w:numPr>
        <w:rPr/>
      </w:pPr>
      <w:r>
        <w:rPr/>
        <w:t>流动性压力：监测市场深度、买卖价差等流动性指标，设定阈值，在流动性枯竭前自动减仓。</w:t>
      </w:r>
    </w:p>
    <w:p>
      <w:pPr>
        <w:numPr>
          <w:ilvl w:val="0"/>
          <w:numId w:val="12"/>
        </w:numPr>
        <w:rPr/>
      </w:pPr>
      <w:r>
        <w:rPr/>
        <w:t>分散化的局限：需认识到，在系统性危机中，不同资产类别相关性会趋近于1，分散化可能失效。因此，真正的保护来自冗余（预留现金）和尾部风险对冲（如配置远月虚值期权）。</w:t>
      </w:r>
    </w:p>
    <w:p>
      <w:pPr>
        <w:rPr/>
      </w:pPr>
      <w:r>
        <w:rPr/>
        <w:t>杠杆是双刃剑，放大收益也放大损失，更重要的是，杠杆可能迫使你在最差时机平仓。分散化是唯一的“免费午餐”，但分散化不仅是资产数量，更是风险来源的分散。压力测试、情景分析不是合规要求，而是理解组合脆弱性的工具。</w:t>
      </w:r>
    </w:p>
    <w:p>
      <w:pPr>
        <w:rPr/>
      </w:pPr>
      <w:r>
        <w:rPr/>
        <w:t>5.3 长期主义：穿越周期的定力</w:t>
      </w:r>
    </w:p>
    <w:p>
      <w:pPr>
        <w:rPr/>
      </w:pPr>
      <w:r>
        <w:rPr/>
        <w:t>长期主义不是被动等待，而是主动选择与时间做朋友。复利是世界第八大奇迹，但前提是不发生永久性资本损失。短期市场充满噪音，均值回归需要时间，策略有自身的周期性。投资纪律自动化减少人为干预，但需定期评估纪律的适用性。</w:t>
      </w:r>
    </w:p>
    <w:p>
      <w:pPr>
        <w:rPr/>
      </w:pPr>
      <w:r>
        <w:rPr/>
        <w:t>持续学习是长期主义的必然要求，市场在进化，策略会衰减，只有不断学习才能适应。长期主义也意味着耐心等待机会，大部分时间市场定价相对有效，真正的机会稀缺，需要耐心等待、果断出击。</w:t>
      </w:r>
    </w:p>
    <w:p>
      <w:pPr>
        <w:rPr/>
      </w:pPr>
      <w:r>
        <w:rPr/>
        <w:t>5.4 实战经验：无法替代的成长</w:t>
      </w:r>
    </w:p>
    <w:p>
      <w:pPr>
        <w:rPr/>
      </w:pPr>
      <w:r>
        <w:rPr/>
        <w:t>在实盘里亏过——这一课任何模拟都无法替代。实盘让你真正理解流动性：回测中的假设交易在实盘中可能无法成交，或成交价远差于预期。滑点不是固定值，在市场波动大时急剧增加。交易成本（佣金、税费、冲击成本）吞噬看似美好的回测收益。止损设置是艺术而非科学：过紧会被噪音震出，过松会承受大额亏损。最重要的是，实盘亏损让你对模型的局限性产生敬畏——模型是对现实的简化，总有模型未捕捉的风险。</w:t>
      </w:r>
    </w:p>
    <w:p>
      <w:pPr>
        <w:rPr/>
      </w:pPr>
      <w:r>
        <w:rPr/>
        <w:t>在回撤里熬过——这是基金经理的成人礼。每个策略都有周期性，回撤是策略的一部分而非全部。但区分正常回撤与策略失效是核心能力：正常回撤在历史范围内，逻辑依然成立；失效是市场结构变化导致逻辑根基动摇。熬过回撤需要心理韧性，也需要技术准备：资金管理确保不会在黎明前爆仓，压力测试了解最大可能亏损，与投资者沟通管理预期。那些“在回撤里熬过”的基金经理，最终学会了与不确定性共处，理解了忍耐的价值，建立了真正的投资信心——不是对特定策略的信心，而是对自己方法论、风险控制、持续学习能力的信心。</w:t>
      </w:r>
    </w:p>
    <w:p>
      <w:pPr>
        <w:pStyle w:val="000004"/>
        <w:rPr/>
      </w:pPr>
      <w:r>
        <w:rPr>
          <w:b w:val="1"/>
        </w:rPr>
        <w:t>第六章 批判性思维、创新能力、沟通能力</w:t>
      </w:r>
    </w:p>
    <w:p>
      <w:pPr>
        <w:rPr/>
      </w:pPr>
      <w:r>
        <w:rPr/>
        <w:t>量化基金不仅是技术人员，更是综合管理者。批判性思维让你质疑每一个假设，区分相关与因果，避免数据挖掘偏差。创新能力让你寻找新的 alpha 来源，探索未开发的数据，设计新颖的模型架构。沟通能力让你向非技术背景的投资者解释复杂策略，向团队成员清晰传达思想，向监管说明合规性。量化投资是一场无限游戏，没有终极胜利。</w:t>
      </w:r>
    </w:p>
    <w:p>
      <w:pPr>
        <w:rPr/>
      </w:pPr>
      <w:r>
        <w:rPr/>
        <w:t>量化投资不是一门关于“预测”的科学，而是一门关于“管理不确定性”的手艺。</w:t>
      </w:r>
    </w:p>
    <w:p>
      <w:pPr>
        <w:numPr>
          <w:ilvl w:val="0"/>
          <w:numId w:val="13"/>
        </w:numPr>
        <w:rPr/>
      </w:pPr>
      <w:r>
        <w:rPr/>
        <w:t>模型会过时：今天有效的因子，明天可能失效。唯一不变的是你需要持续学习、持续研究、持续寻找新逻辑的能力。</w:t>
      </w:r>
    </w:p>
    <w:p>
      <w:pPr>
        <w:numPr>
          <w:ilvl w:val="0"/>
          <w:numId w:val="13"/>
        </w:numPr>
        <w:rPr/>
      </w:pPr>
      <w:r>
        <w:rPr/>
        <w:t>市场会惩罚傲慢：认为自己的模型可以战胜一切市场状态的信念，是爆仓的前奏。保持敬畏，保持策略的多样性，保持一部分现金。</w:t>
      </w:r>
    </w:p>
    <w:p>
      <w:pPr>
        <w:numPr>
          <w:ilvl w:val="0"/>
          <w:numId w:val="13"/>
        </w:numPr>
        <w:rPr/>
      </w:pPr>
      <w:r>
        <w:rPr/>
        <w:t>你自己才是最大的变量：在漫长的实盘生涯中，你的知识、情绪、健康、家庭、甚至运气，都会影响决策。打造一个能对抗自身弱点的系统，比打造一个夏普比率3.0的策略更重要。</w:t>
      </w:r>
    </w:p>
    <w:p>
      <w:pPr>
        <w:pStyle w:val="000004"/>
        <w:rPr/>
      </w:pPr>
      <w:r>
        <w:rPr>
          <w:b w:val="1"/>
        </w:rPr>
        <w:t>第七章：另类数据与信息提取</w:t>
      </w:r>
    </w:p>
    <w:p>
      <w:pPr>
        <w:rPr/>
      </w:pPr>
      <w:r>
        <w:rPr/>
        <w:t>7.1 数据源的革命</w:t>
      </w:r>
    </w:p>
    <w:p>
      <w:pPr>
        <w:rPr/>
      </w:pPr>
      <w:r>
        <w:rPr/>
        <w:t>传统金融数据（价格、成交量、财务报表）已被充分挖掘，另类数据成为新的alpha来源。卫星数据包括夜间灯光、停车场车辆、农田作物生长、港口船只活动，可用于预测区域经济、零售流量、农业产量。地理定位数据通过手机信号追踪人群流动，分析商场客流、旅游趋势。网络爬虫抓取电商价格、库存、评论，实时监控消费趋势。</w:t>
      </w:r>
    </w:p>
    <w:p>
      <w:pPr>
        <w:rPr/>
      </w:pPr>
      <w:r>
        <w:rPr/>
        <w:t>7.2 非结构化数据处理</w:t>
      </w:r>
    </w:p>
    <w:p>
      <w:pPr>
        <w:rPr/>
      </w:pPr>
      <w:r>
        <w:rPr/>
        <w:t>文本数据是信息富矿。新闻情感分析通过NLP技术提取市场情绪，但需区分事实报道与观点评论。财报电话会议逐字稿包含管理层语调、问答环节的非语言信息，这些是前瞻性指标。社交媒体数据（Twitter、Reddit、论坛）反映散户情绪，但噪音巨大，需有效过滤。法律文件、专利文档、供应链信息包含竞争格局变化信号。</w:t>
      </w:r>
    </w:p>
    <w:p>
      <w:pPr>
        <w:rPr/>
      </w:pPr>
      <w:r>
        <w:rPr/>
        <w:t xml:space="preserve">7.2.A </w:t>
      </w:r>
      <w:r>
        <w:rPr>
          <w:b w:val="1"/>
        </w:rPr>
        <w:t>关于“另类数据”的预处理挑战与技术栈</w:t>
      </w:r>
    </w:p>
    <w:p>
      <w:pPr>
        <w:rPr/>
      </w:pPr>
      <w:r>
        <w:rPr>
          <w:b w:val="1"/>
        </w:rPr>
        <w:t>预处理挑战（从数据源到Alpha的“炼狱”）</w:t>
      </w:r>
      <w:r>
        <w:rPr/>
        <w:t>：另类数据的价值与噪音并存，预处理是将其转化为有效特征的核心战场，其挑战具有高度特异性：</w:t>
      </w:r>
    </w:p>
    <w:p>
      <w:pPr>
        <w:numPr>
          <w:ilvl w:val="0"/>
          <w:numId w:val="14"/>
        </w:numPr>
        <w:rPr/>
      </w:pPr>
      <w:r>
        <w:rPr>
          <w:b w:val="1"/>
        </w:rPr>
        <w:t>文本/新闻数据</w:t>
      </w:r>
      <w:r>
        <w:rPr/>
        <w:t>：</w:t>
      </w:r>
    </w:p>
    <w:p>
      <w:pPr>
        <w:numPr>
          <w:ilvl w:val="0"/>
          <w:numId w:val="15"/>
        </w:numPr>
        <w:rPr/>
      </w:pPr>
      <w:r>
        <w:rPr>
          <w:b w:val="1"/>
        </w:rPr>
        <w:t>挑战</w:t>
      </w:r>
      <w:r>
        <w:rPr/>
        <w:t>：非结构化、语义模糊、情绪极性与事件影响分离困难（如“公司面临重大诉讼” vs. “公司成功解决重大诉讼”）。</w:t>
      </w:r>
    </w:p>
    <w:p>
      <w:pPr>
        <w:numPr>
          <w:ilvl w:val="0"/>
          <w:numId w:val="15"/>
        </w:numPr>
        <w:rPr/>
      </w:pPr>
      <w:r>
        <w:rPr>
          <w:b w:val="1"/>
        </w:rPr>
        <w:t>处理</w:t>
      </w:r>
      <w:r>
        <w:rPr/>
        <w:t>：需超越简单情感词典，采用基于领域语料微调的预训练模型（如FinBERT）进行实体识别、事件抽取、情感深度分析，并处理新闻的时效衰减与信息层级。</w:t>
      </w:r>
    </w:p>
    <w:p>
      <w:pPr>
        <w:numPr>
          <w:ilvl w:val="0"/>
          <w:numId w:val="14"/>
        </w:numPr>
        <w:rPr/>
      </w:pPr>
      <w:r>
        <w:rPr>
          <w:b w:val="1"/>
        </w:rPr>
        <w:t>卫星/地理空间数据</w:t>
      </w:r>
      <w:r>
        <w:rPr/>
        <w:t>：</w:t>
      </w:r>
    </w:p>
    <w:p>
      <w:pPr>
        <w:numPr>
          <w:ilvl w:val="0"/>
          <w:numId w:val="16"/>
        </w:numPr>
        <w:rPr/>
      </w:pPr>
      <w:r>
        <w:rPr>
          <w:b w:val="1"/>
        </w:rPr>
        <w:t>挑战</w:t>
      </w:r>
      <w:r>
        <w:rPr/>
        <w:t>：数据体量巨大（原始图像）、受天气/云层干扰、从像素到经济指标的映射复杂（如停车场车辆计数与零售额的关系非线性）。</w:t>
      </w:r>
    </w:p>
    <w:p>
      <w:pPr>
        <w:numPr>
          <w:ilvl w:val="0"/>
          <w:numId w:val="16"/>
        </w:numPr>
        <w:rPr/>
      </w:pPr>
      <w:r>
        <w:rPr>
          <w:b w:val="1"/>
        </w:rPr>
        <w:t>处理</w:t>
      </w:r>
      <w:r>
        <w:rPr/>
        <w:t>：依赖云平台进行大规模图像存储与处理，使用计算机视觉模型（如CNN）进行目标检测与变化识别，并需与天气、季节等数据进行对齐与校准。</w:t>
      </w:r>
    </w:p>
    <w:p>
      <w:pPr>
        <w:numPr>
          <w:ilvl w:val="0"/>
          <w:numId w:val="14"/>
        </w:numPr>
        <w:rPr/>
      </w:pPr>
      <w:r>
        <w:rPr>
          <w:b w:val="1"/>
        </w:rPr>
        <w:t>网络流量与消费者行为数据</w:t>
      </w:r>
      <w:r>
        <w:rPr/>
        <w:t>：</w:t>
      </w:r>
    </w:p>
    <w:p>
      <w:pPr>
        <w:numPr>
          <w:ilvl w:val="0"/>
          <w:numId w:val="17"/>
        </w:numPr>
        <w:rPr/>
      </w:pPr>
      <w:r>
        <w:rPr>
          <w:b w:val="1"/>
        </w:rPr>
        <w:t>挑战</w:t>
      </w:r>
      <w:r>
        <w:rPr/>
        <w:t>：数据稀疏、存在爬虫与虚假流量、用户隐私保护（GDPR/CCPA）导致数据脱敏严重，难以进行长期一致的个体追踪。</w:t>
      </w:r>
    </w:p>
    <w:p>
      <w:pPr>
        <w:numPr>
          <w:ilvl w:val="0"/>
          <w:numId w:val="17"/>
        </w:numPr>
        <w:rPr/>
      </w:pPr>
      <w:r>
        <w:rPr>
          <w:b w:val="1"/>
        </w:rPr>
        <w:t>处理</w:t>
      </w:r>
      <w:r>
        <w:rPr/>
        <w:t>：需构建复杂的数据清洗管道过滤机器流量，利用差分隐私或聚合统计方法规避合规风险，并处理因平台算法改版导致的数据结构突变。</w:t>
      </w:r>
    </w:p>
    <w:p>
      <w:pPr>
        <w:numPr>
          <w:ilvl w:val="0"/>
          <w:numId w:val="14"/>
        </w:numPr>
        <w:rPr/>
      </w:pPr>
      <w:r>
        <w:rPr>
          <w:b w:val="1"/>
        </w:rPr>
        <w:t>供应链与物流数据</w:t>
      </w:r>
      <w:r>
        <w:rPr/>
        <w:t>：</w:t>
      </w:r>
    </w:p>
    <w:p>
      <w:pPr>
        <w:numPr>
          <w:ilvl w:val="0"/>
          <w:numId w:val="18"/>
        </w:numPr>
        <w:rPr/>
      </w:pPr>
      <w:r>
        <w:rPr>
          <w:b w:val="1"/>
        </w:rPr>
        <w:t>挑战</w:t>
      </w:r>
      <w:r>
        <w:rPr/>
        <w:t>：数据来源分散（AIS、提单、物流平台）、格式不一、存在大量缺失与错误录入，且具有显著的领先/滞后关系。</w:t>
      </w:r>
    </w:p>
    <w:p>
      <w:pPr>
        <w:numPr>
          <w:ilvl w:val="0"/>
          <w:numId w:val="18"/>
        </w:numPr>
        <w:rPr/>
      </w:pPr>
      <w:r>
        <w:rPr>
          <w:b w:val="1"/>
        </w:rPr>
        <w:t>处理</w:t>
      </w:r>
      <w:r>
        <w:rPr/>
        <w:t>：需要多源数据融合与实体解析技术，利用统计或机器学习方法进行插补与异常值修正，并通过因果推断验证与宏观/行业数据的领先滞后结构。</w:t>
      </w:r>
    </w:p>
    <w:p>
      <w:pPr>
        <w:rPr/>
      </w:pPr>
      <w:r>
        <w:rPr>
          <w:b w:val="1"/>
        </w:rPr>
        <w:t>常见技术栈</w:t>
      </w:r>
      <w:r>
        <w:rPr/>
        <w:t>：</w:t>
      </w:r>
    </w:p>
    <w:p>
      <w:pPr>
        <w:numPr>
          <w:ilvl w:val="0"/>
          <w:numId w:val="19"/>
        </w:numPr>
        <w:rPr/>
      </w:pPr>
      <w:r>
        <w:rPr>
          <w:b w:val="1"/>
        </w:rPr>
        <w:t>数据获取与存储</w:t>
      </w:r>
      <w:r>
        <w:rPr/>
        <w:t>：云对象存储、分布式数据库、流处理平台。</w:t>
      </w:r>
    </w:p>
    <w:p>
      <w:pPr>
        <w:numPr>
          <w:ilvl w:val="0"/>
          <w:numId w:val="19"/>
        </w:numPr>
        <w:rPr/>
      </w:pPr>
      <w:r>
        <w:rPr>
          <w:b w:val="1"/>
        </w:rPr>
        <w:t>核心处理</w:t>
      </w:r>
      <w:r>
        <w:rPr/>
        <w:t>：针对不同类型数据，集成计算机视觉库、自然语言处理框架、地理信息系统工具。</w:t>
      </w:r>
    </w:p>
    <w:p>
      <w:pPr>
        <w:numPr>
          <w:ilvl w:val="0"/>
          <w:numId w:val="19"/>
        </w:numPr>
        <w:rPr/>
      </w:pPr>
      <w:r>
        <w:rPr>
          <w:b w:val="1"/>
        </w:rPr>
        <w:t>特征工程与实验管理</w:t>
      </w:r>
      <w:r>
        <w:rPr/>
        <w:t>：特征存储平台、MLflow/DVC等实验跟踪工具，确保特征可复现。</w:t>
      </w:r>
    </w:p>
    <w:p>
      <w:pPr>
        <w:numPr>
          <w:ilvl w:val="0"/>
          <w:numId w:val="19"/>
        </w:numPr>
        <w:rPr/>
      </w:pPr>
      <w:r>
        <w:rPr>
          <w:b w:val="1"/>
        </w:rPr>
        <w:t>合规与治理</w:t>
      </w:r>
      <w:r>
        <w:rPr/>
        <w:t>：数据血缘追踪、访问控制、审计日志，贯穿全流程。</w:t>
      </w:r>
    </w:p>
    <w:p>
      <w:pPr>
        <w:rPr/>
      </w:pPr>
      <w:r>
        <w:rPr>
          <w:b w:val="1"/>
        </w:rPr>
        <w:t>核心洞见</w:t>
      </w:r>
      <w:r>
        <w:rPr/>
        <w:t>：预处理另类数据时，</w:t>
      </w:r>
      <w:r>
        <w:rPr>
          <w:b w:val="1"/>
        </w:rPr>
        <w:t>理解数据生成机制</w:t>
      </w:r>
      <w:r>
        <w:rPr/>
        <w:t>与</w:t>
      </w:r>
      <w:r>
        <w:rPr>
          <w:b w:val="1"/>
        </w:rPr>
        <w:t>业务逻辑</w:t>
      </w:r>
      <w:r>
        <w:rPr/>
        <w:t>比应用复杂算法更重要。一个简单的、基于领域知识的启发式规则，往往比一个黑箱深度学习模型产生更稳健、更可解释的Alpha。必须对数据中的幸存者偏差、前视偏差和选择性报告保持最高警惕。</w:t>
      </w:r>
    </w:p>
    <w:p>
      <w:pPr>
        <w:rPr/>
      </w:pPr>
      <w:r>
        <w:rPr/>
        <w:t>7.3 数据质量与偏见</w:t>
      </w:r>
    </w:p>
    <w:p>
      <w:pPr>
        <w:rPr/>
      </w:pPr>
      <w:r>
        <w:rPr/>
        <w:t>另类数据存在独特挑战。数据覆盖可能不完整，存在选择偏差。数据频率不一致，需与金融市场数据对齐。幸存者偏差是陷阱——现有公司数据容易获取，但已退市公司数据难寻，导致回测过于乐观。数据衰减速度不同，有些信号有效期短（社交媒体），有些长（专利）。数据合规性至关重要，特别是涉及个人隐私时。</w:t>
      </w:r>
    </w:p>
    <w:p>
      <w:pPr>
        <w:rPr/>
      </w:pPr>
      <w:r>
        <w:rPr/>
        <w:t>个人使用另类数据时，极易触碰法律红线。爬取公开网站数据可能违反网站《服务条款》；使用卫星数据需注意分辨率是否涉及军事机密；处理用户生成内容（如社交评论）需符合《个人信息保护法》。强烈建议在策略研究阶段就咨询法律顾问，而非在盈利后被起诉。一个通行的法务建议是：只使用有明确授权、或来自正规数据供应商的另类数据。</w:t>
      </w:r>
    </w:p>
    <w:p>
      <w:pPr>
        <w:pStyle w:val="000004"/>
        <w:rPr/>
      </w:pPr>
      <w:r>
        <w:rPr>
          <w:b w:val="1"/>
        </w:rPr>
        <w:t>第八章：高频与超高频交易</w:t>
      </w:r>
    </w:p>
    <w:p>
      <w:pPr>
        <w:rPr/>
      </w:pPr>
      <w:r>
        <w:rPr/>
        <w:t>8.1 微观市场结构</w:t>
      </w:r>
    </w:p>
    <w:p>
      <w:pPr>
        <w:rPr/>
      </w:pPr>
      <w:r>
        <w:rPr/>
        <w:t>限价订单簿动态是价格形成的核心。买卖价差反映即时交易成本，订单簿形状（深度、斜率）揭示市场流动性。订单流不平衡可预测短期价格变动。市场分割（不同交易所、暗池）带来套利机会，但需考虑跨市场交易规则差异。</w:t>
      </w:r>
    </w:p>
    <w:p>
      <w:pPr>
        <w:rPr/>
      </w:pPr>
      <w:r>
        <w:rPr/>
        <w:t>8.2 低延迟技术</w:t>
      </w:r>
    </w:p>
    <w:p>
      <w:pPr>
        <w:rPr/>
      </w:pPr>
      <w:r>
        <w:rPr/>
        <w:t>高频交易是速度的竞赛。硬件加速（FPGA、ASIC）实现纳秒级响应。网络优化包括交易所托管、直连、微波/激光通信。操作系统层面需实时内核、中断优化。内存计算避免磁盘I/O瓶颈。代码级优化包括缓存友好设计、分支预测优化、向量化指令。</w:t>
      </w:r>
    </w:p>
    <w:p>
      <w:pPr>
        <w:rPr/>
      </w:pPr>
      <w:r>
        <w:rPr/>
        <w:t>除非你受雇于一线自营交易公司或顶级对冲基金，并有数百万美元以上的技术预算，否则不应将“高频交易”作为职业或个人发展的目标。这是一个赢家通吃、高度内卷、技术壁垒极高且监管日益严厉的领域。对个人和中小机构而言，中低频策略（持仓周期数小时至数月）是更现实、更具规模经济的选择。</w:t>
      </w:r>
    </w:p>
    <w:p>
      <w:pPr>
        <w:rPr/>
      </w:pPr>
      <w:r>
        <w:rPr/>
        <w:t>对多数个人与中小机构的建议：</w:t>
      </w:r>
    </w:p>
    <w:p>
      <w:pPr>
        <w:rPr/>
      </w:pPr>
      <w:r>
        <w:rPr/>
        <w:t>除非从事专业高频做市，否则不应在硬件竞赛中投入过多。延迟优势的收益呈高度非线性，且需持续投入以维持。更务实的做法是：</w:t>
      </w:r>
    </w:p>
    <w:p>
      <w:pPr>
        <w:numPr>
          <w:ilvl w:val="0"/>
          <w:numId w:val="20"/>
        </w:numPr>
        <w:rPr/>
      </w:pPr>
      <w:r>
        <w:rPr/>
        <w:t>专注于中低频策略，其对延迟不敏感。</w:t>
      </w:r>
    </w:p>
    <w:p>
      <w:pPr>
        <w:numPr>
          <w:ilvl w:val="0"/>
          <w:numId w:val="20"/>
        </w:numPr>
        <w:rPr/>
      </w:pPr>
      <w:r>
        <w:rPr/>
        <w:t>使用托管服务器/云服务器接近交易所，而非自建机房。</w:t>
      </w:r>
    </w:p>
    <w:p>
      <w:pPr>
        <w:numPr>
          <w:ilvl w:val="0"/>
          <w:numId w:val="20"/>
        </w:numPr>
        <w:rPr/>
      </w:pPr>
      <w:r>
        <w:rPr/>
        <w:t>在代码层面进行算法级优化（如减少不必要的循环、使用向量化操作）和并发处理，这通常比硬件优化带来的收益更高。</w:t>
      </w:r>
    </w:p>
    <w:p>
      <w:pPr>
        <w:numPr>
          <w:ilvl w:val="0"/>
          <w:numId w:val="20"/>
        </w:numPr>
        <w:rPr/>
      </w:pPr>
      <w:r>
        <w:rPr/>
        <w:t>使用 Numba、JAX等即时编译库实现GPU加速，可大幅提升回测与研究效率，而无需深入CUDA编程。</w:t>
      </w:r>
    </w:p>
    <w:p>
      <w:pPr>
        <w:rPr/>
      </w:pPr>
      <w:r>
        <w:rPr/>
        <w:t>8.3 市场影响与执行算法</w:t>
      </w:r>
    </w:p>
    <w:p>
      <w:pPr>
        <w:rPr/>
      </w:pPr>
      <w:r>
        <w:rPr/>
        <w:t>大订单会移动市场，需分割执行。执行算法包括：VWAP（成交量加权平均）跟随市场成交量分布，TWAP（时间加权平均）均匀分割，Implementation Shortfall最小化与决策价的偏差。冰山订单隐藏真实规模，但可能被其他算法检测。在高频领域，即使是微小的延迟优势（微秒级）也能产生显著盈利。</w:t>
      </w:r>
    </w:p>
    <w:p>
      <w:pPr>
        <w:pStyle w:val="000004"/>
        <w:rPr/>
      </w:pPr>
      <w:r>
        <w:rPr>
          <w:b w:val="1"/>
        </w:rPr>
        <w:t>第九章：风险管理高阶</w:t>
      </w:r>
    </w:p>
    <w:p>
      <w:pPr>
        <w:rPr/>
      </w:pPr>
      <w:r>
        <w:rPr/>
        <w:t>9.1 多维度风险计量</w:t>
      </w:r>
    </w:p>
    <w:p>
      <w:pPr>
        <w:rPr/>
      </w:pPr>
      <w:r>
        <w:rPr/>
        <w:t>传统风险指标需补充。流动性风险包括买卖价差、市场深度、交易速度，极端时流动性蒸发。集中度风险不仅是个股集中，更是风险因子集中（如所有头寸都对利率敏感）。模型风险是量化特有——模型假设错误、参数估计误差、实现错误。操作风险包括系统故障、人为错误、外部事件。</w:t>
      </w:r>
    </w:p>
    <w:p>
      <w:pPr>
        <w:rPr/>
      </w:pPr>
      <w:r>
        <w:rPr/>
        <w:t>9.2 压力测试与情景分析</w:t>
      </w:r>
    </w:p>
    <w:p>
      <w:pPr>
        <w:rPr/>
      </w:pPr>
      <w:r>
        <w:rPr/>
        <w:t>历史压力测试（如2008年金融危机、2020年疫情冲击）有参考价值，但未来危机可能不同。假设性情景需构建合理极端事件，如主要央行同时大幅加息、地缘冲突升级、关键市场参与者违约。反向压力测试：从给定损失倒推何种情景会导致该损失。相关性在危机中趋近1，分散化失效，需考虑尾部相关性。</w:t>
      </w:r>
    </w:p>
    <w:p>
      <w:pPr>
        <w:rPr/>
      </w:pPr>
      <w:r>
        <w:rPr/>
        <w:t>9.3 实时风险监控</w:t>
      </w:r>
    </w:p>
    <w:p>
      <w:pPr>
        <w:rPr/>
      </w:pPr>
      <w:r>
        <w:rPr/>
        <w:t>实时风险系统需监控：头寸规模、风险暴露、杠杆倍数、保证金使用。设置多层次风险限额：硬限额（不可突破）、软限额（预警）、指导性限额。自动熔断机制在超限时强制平仓。风险归因不仅看损益来源，也看风险来源。压力情景下的流动性需求预估，确保不会被迫在不佳时点平仓。</w:t>
      </w:r>
    </w:p>
    <w:p>
      <w:pPr>
        <w:pStyle w:val="000004"/>
        <w:rPr/>
      </w:pPr>
      <w:r>
        <w:rPr>
          <w:b w:val="1"/>
        </w:rPr>
        <w:t>第十章：可持续与ESG投资</w:t>
      </w:r>
    </w:p>
    <w:p>
      <w:pPr>
        <w:rPr/>
      </w:pPr>
      <w:r>
        <w:rPr/>
        <w:t>10.1 ESG整合</w:t>
      </w:r>
    </w:p>
    <w:p>
      <w:pPr>
        <w:rPr/>
      </w:pPr>
      <w:r>
        <w:rPr/>
        <w:t>ESG因素从道德考量变为风险与机会因子。环境风险包括气候变化物理风险（极端天气）、转型风险（政策变化、技术颠覆）。社会风险包括员工关系、供应链管理、数据隐私。治理风险包括董事会结构、高管薪酬、股东权利。ESG数据质量参差不齐，评级机构间相关性低，需建立自己的评估框架。</w:t>
      </w:r>
    </w:p>
    <w:p>
      <w:pPr>
        <w:rPr/>
      </w:pPr>
      <w:r>
        <w:rPr/>
        <w:t>10.2 气候风险建模</w:t>
      </w:r>
    </w:p>
    <w:p>
      <w:pPr>
        <w:rPr/>
      </w:pPr>
      <w:r>
        <w:rPr/>
        <w:t>气候转型情景（如IEA的净零排放情景）对行业、公司影响差异巨大。碳定价内化外部成本，改变行业成本结构。物理风险建模需结合气候模型与资产地理分布。绿色溢价（清洁技术溢价）与棕色折价（高碳资产折价）在估值中体现。碳排放权交易市场的套利机会。</w:t>
      </w:r>
    </w:p>
    <w:p>
      <w:pPr>
        <w:rPr/>
      </w:pPr>
      <w:r>
        <w:rPr/>
        <w:t>10.3 影响力衡量</w:t>
      </w:r>
    </w:p>
    <w:p>
      <w:pPr>
        <w:rPr/>
      </w:pPr>
      <w:r>
        <w:rPr/>
        <w:t>除财务回报外，衡量投资的社会环境影响。但影响力衡量标准不一，存在“漂绿”风险。欧盟可持续金融披露条例（SFDR）、 taxonomy 分类法提供框架。量化模型可加入ESG因子，但需注意：ESG因子与传统因子可能存在多重共线性，ESG改善对公司价值影响有时滞。</w:t>
      </w:r>
    </w:p>
    <w:p>
      <w:pPr>
        <w:pStyle w:val="000004"/>
        <w:rPr/>
      </w:pPr>
      <w:r>
        <w:rPr>
          <w:b w:val="1"/>
        </w:rPr>
        <w:t>第十一章：加密货币与数字资产</w:t>
      </w:r>
    </w:p>
    <w:p>
      <w:pPr>
        <w:rPr/>
      </w:pPr>
      <w:r>
        <w:rPr/>
        <w:t>11.1 加密市场特性</w:t>
      </w:r>
    </w:p>
    <w:p>
      <w:pPr>
        <w:rPr/>
      </w:pPr>
      <w:r>
        <w:rPr/>
        <w:t>7x24小时连续交易，无传统开收盘。市场碎片化，数百交易所价格需实时聚合。波动率远高于传统资产，但有规律性（如周末效应减弱）。链上数据完全透明，所有交易公开可查，但地址匿名。跨交易所套利、期现套利、资金费率套利机会较多但竞争激烈。</w:t>
      </w:r>
    </w:p>
    <w:p>
      <w:pPr>
        <w:rPr/>
      </w:pPr>
      <w:r>
        <w:rPr/>
        <w:t>11.2 链上分析</w:t>
      </w:r>
    </w:p>
    <w:p>
      <w:pPr>
        <w:rPr/>
      </w:pPr>
      <w:r>
        <w:rPr/>
        <w:t>比特币UTXO模型、以太坊账户模型提供不同分析角度。持有者行为分析：长期持有者与短期交易者比例。矿工行为：矿工持仓变化、挖矿难度调整。交易所流量：流入流出量预示市场情绪。网络基本面：算力、交易费、活跃地址数。DeFi协议数据：锁仓量、借贷利率、清算水平。</w:t>
      </w:r>
    </w:p>
    <w:p>
      <w:pPr>
        <w:rPr/>
      </w:pPr>
      <w:r>
        <w:rPr/>
        <w:t>11.3 加密衍生品</w:t>
      </w:r>
    </w:p>
    <w:p>
      <w:pPr>
        <w:rPr/>
      </w:pPr>
      <w:r>
        <w:rPr/>
        <w:t>永续期货是主要产品，资金费率机制使价格锚定现货。期权市场增长迅速，隐含波动率曲面提供丰富信息。波动率产品、结构性产品不断出现。但监管不确定性高，交易所风险（黑客、跑路）、稳定币风险（抵押不足、挤兑）需重点关注。来自实盘的警告：</w:t>
      </w:r>
    </w:p>
    <w:p>
      <w:pPr>
        <w:numPr>
          <w:ilvl w:val="0"/>
          <w:numId w:val="21"/>
        </w:numPr>
        <w:rPr/>
      </w:pPr>
      <w:r>
        <w:rPr/>
        <w:t>交易所风险是首要风险。2022年FTX事件表明，无论策略多优秀，资产托管在问题交易所都可能归零。必须将大部分资产存放于冷钱包或受信任的独立托管机构。</w:t>
      </w:r>
    </w:p>
    <w:p>
      <w:pPr>
        <w:numPr>
          <w:ilvl w:val="0"/>
          <w:numId w:val="21"/>
        </w:numPr>
        <w:rPr/>
      </w:pPr>
      <w:r>
        <w:rPr/>
        <w:t>合约风险：永续期货的资金费率在单边行情中可能急剧扩大，成为主要成本甚至亏损来源。需将资金费率作为信号纳入模型，或直接避免在费率过高时持仓。</w:t>
      </w:r>
    </w:p>
    <w:p>
      <w:pPr>
        <w:numPr>
          <w:ilvl w:val="0"/>
          <w:numId w:val="21"/>
        </w:numPr>
        <w:rPr/>
      </w:pPr>
      <w:r>
        <w:rPr/>
        <w:t>链上分析的应用：链上数据（如交易所净流量、巨鲸动向）可作为情绪辅助指标，但切勿作为单一交易信号。其噪音大，且容易被大户操纵（如通过地址拆分伪造数据）。</w:t>
      </w:r>
    </w:p>
    <w:p>
      <w:pPr>
        <w:numPr>
          <w:ilvl w:val="0"/>
          <w:numId w:val="21"/>
        </w:numPr>
        <w:rPr/>
      </w:pPr>
      <w:r>
        <w:rPr/>
        <w:t>“土狗币”陷阱：远离流动性差、匿名团队、机制复杂（如多层质押分红）的项目。量化不应试图在纯粹的赌场中寻找alpha。</w:t>
      </w:r>
    </w:p>
    <w:p>
      <w:pPr>
        <w:pStyle w:val="000004"/>
        <w:rPr/>
      </w:pPr>
      <w:r>
        <w:rPr>
          <w:b w:val="1"/>
        </w:rPr>
        <w:t>第十二章：可解释AI与因果推断</w:t>
      </w:r>
    </w:p>
    <w:p>
      <w:pPr>
        <w:rPr/>
      </w:pPr>
      <w:r>
        <w:rPr/>
        <w:t>12.1 模型可解释性</w:t>
      </w:r>
    </w:p>
    <w:p>
      <w:pPr>
        <w:rPr/>
      </w:pPr>
      <w:r>
        <w:rPr/>
        <w:t>“黑箱”模型在实盘中接受度低，特别是大额回撤时。特征重要性（如SHAP值）显示每个特征对预测的贡献。部分依赖图显示特征与预测间的边际关系。局部解释（LIME）针对单个预测解释。但金融中相关性≠因果，可解释性工具可能给出误导性解释。</w:t>
      </w:r>
    </w:p>
    <w:p>
      <w:pPr>
        <w:rPr/>
      </w:pPr>
      <w:r>
        <w:rPr/>
        <w:t>在金融中，追求“完全可解释”有时是伪命题。一个线性回归模型（完全可解释）如果因为过拟合而失效，其“解释”毫无价值。而一个深度神经网络（黑箱）如果能在样本外稳定预测，其“不可解释”的结果反而有价值。我们的目标不应是“解释模型”，而应是“理解策略的盈利来源和失效边界”。有时，通过压力测试和情景分析来探知策略的脆弱点，比理解每个节点的SHAP值更重要。</w:t>
      </w:r>
    </w:p>
    <w:p>
      <w:pPr>
        <w:rPr/>
      </w:pPr>
      <w:r>
        <w:rPr/>
        <w:t>12.2 因果推断方法</w:t>
      </w:r>
    </w:p>
    <w:p>
      <w:pPr>
        <w:rPr/>
      </w:pPr>
      <w:r>
        <w:rPr/>
        <w:t>随机对照试验是因果推断金标准，但金融中难实施。自然实验利用外生冲击，如政策变化、自然灾害。工具变量法寻找与处理变量相关、与误差项无关的变量。双重差分法比较处理组与对照组在政策前后的差异。断点回归利用阈值附近的“随机”分配。因果发现算法（如PC算法）从数据中推测因果结构。</w:t>
      </w:r>
    </w:p>
    <w:p>
      <w:pPr>
        <w:rPr/>
      </w:pPr>
      <w:r>
        <w:rPr/>
        <w:t>12.3 因果强化学习</w:t>
      </w:r>
    </w:p>
    <w:p>
      <w:pPr>
        <w:rPr/>
      </w:pPr>
      <w:r>
        <w:rPr/>
        <w:t>传统强化学习学习相关策略，但环境变化时可能失效。因果强化学习学习因果模型，理解行动与结果间的因果机制，更适应环境变化。反事实推理：如果采取不同行动会怎样？这对投资决策至关重要——不仅要看已发生的结果，还要评估未选择的路径。</w:t>
      </w:r>
    </w:p>
    <w:p>
      <w:pPr>
        <w:pStyle w:val="000004"/>
        <w:rPr/>
      </w:pPr>
      <w:r>
        <w:rPr>
          <w:b w:val="1"/>
        </w:rPr>
        <w:t>第十三章：组合优化进阶</w:t>
      </w:r>
    </w:p>
    <w:p>
      <w:pPr>
        <w:rPr/>
      </w:pPr>
      <w:r>
        <w:rPr/>
        <w:t>13.1 超越均值方差</w:t>
      </w:r>
    </w:p>
    <w:p>
      <w:pPr>
        <w:rPr/>
      </w:pPr>
      <w:r>
        <w:rPr/>
        <w:t>经典均值方差优化对输入（期望收益、协方差矩阵）极其敏感，微小误差导致极端权重。Black-Litterman模型结合市场均衡观点与投资者主观观点，得到更稳定的组合。稳健优化考虑参数不确定性，寻找最坏情况下最优的组合。风险平价（Risk Parity）分配风险而非资金，避免对预期收益的依赖。</w:t>
      </w:r>
    </w:p>
    <w:p>
      <w:pPr>
        <w:rPr/>
      </w:pPr>
      <w:r>
        <w:rPr/>
        <w:t>13.2 因子投资与智能贝塔</w:t>
      </w:r>
    </w:p>
    <w:p>
      <w:pPr>
        <w:rPr/>
      </w:pPr>
      <w:r>
        <w:rPr/>
        <w:t>因子投资系统性地暴露于风险溢价。传统因子（价值、动量、质量、低波动等）已有大量研究。因子择时：动态调整因子暴露，基于因子估值、动量、拥挤度。因子组合优化：不同因子间相关性、因子与资产类别间相关性。智能贝塔（Smart Beta）介于主动与被动之间，基于规则获取因子溢价。</w:t>
      </w:r>
    </w:p>
    <w:p>
      <w:pPr>
        <w:rPr/>
      </w:pPr>
      <w:r>
        <w:rPr/>
        <w:t>13.3 多资产配置</w:t>
      </w:r>
    </w:p>
    <w:p>
      <w:pPr>
        <w:rPr/>
      </w:pPr>
      <w:r>
        <w:rPr/>
        <w:t>资产类别扩展：除传统股债外，加入商品、通胀挂钩债券、外汇、另类投资。多资产风险模型需处理不同频率、不同报告期的数据。资产配置决策层次：战略配置（长期）、战术配置（中期）、动态风险预算（短期）。负债驱动投资（LDI）匹配资产与未来负债，特别适用于养老金、保险资金。</w:t>
      </w:r>
    </w:p>
    <w:p>
      <w:pPr>
        <w:pStyle w:val="000004"/>
        <w:rPr/>
      </w:pPr>
      <w:r>
        <w:rPr>
          <w:b w:val="1"/>
        </w:rPr>
        <w:t>第十四章：另类投资策略</w:t>
      </w:r>
    </w:p>
    <w:p>
      <w:pPr>
        <w:rPr/>
      </w:pPr>
      <w:r>
        <w:rPr/>
        <w:t>14.1 统计套利</w:t>
      </w:r>
    </w:p>
    <w:p>
      <w:pPr>
        <w:rPr/>
      </w:pPr>
      <w:r>
        <w:rPr/>
        <w:t>基于历史统计关系，如配对交易、多腿价差交易。协整关系提供长期均衡，短期偏离创造交易机会。但协整关系会断裂，需持续监控。高维度统计套利（如上百只股票的多空组合）降低特质风险，但增加计算复杂度。风险包括：收敛时间过长、杠杆成本侵蚀利润、拥挤交易导致“因子崩溃”。</w:t>
      </w:r>
    </w:p>
    <w:p>
      <w:pPr>
        <w:rPr/>
      </w:pPr>
      <w:r>
        <w:rPr/>
        <w:t>14.2 事件驱动套利</w:t>
      </w:r>
    </w:p>
    <w:p>
      <w:pPr>
        <w:rPr/>
      </w:pPr>
      <w:r>
        <w:rPr/>
        <w:t>公司事件创造特殊机会。并购套利：收购宣布后，目标公司股价通常低于收购价，价差反映交易失败风险，需评估反垄断审查、股东批准、融资条件等。分拆套利：母公司分拆子公司，初期可能定价低效。破产重组：困境证券交易，预测回收率。事件驱动需法律、会计知识，且每个事件独特，难规模化。</w:t>
      </w:r>
    </w:p>
    <w:p>
      <w:pPr>
        <w:rPr/>
      </w:pPr>
      <w:r>
        <w:rPr/>
        <w:t>14.3 波动率交易</w:t>
      </w:r>
    </w:p>
    <w:p>
      <w:pPr>
        <w:rPr/>
      </w:pPr>
      <w:r>
        <w:rPr/>
        <w:t>波动率本身成为可交易资产。波动率曲面交易：不同行权价、不同期限的隐含波动率存在结构，可交易其偏离。方差互换、波动率互换提供纯波动率暴露。波动率套利：隐含波动率与已实现波动率的差异，但需动态对冲Delta风险。波动率风险溢价：卖出期权获取溢价，但承担尾部风险，需谨慎管理。</w:t>
      </w:r>
    </w:p>
    <w:p>
      <w:pPr>
        <w:pStyle w:val="000004"/>
        <w:rPr/>
      </w:pPr>
      <w:r>
        <w:rPr>
          <w:b w:val="1"/>
        </w:rPr>
        <w:t>第十五章：职业生涯与商业管理</w:t>
      </w:r>
    </w:p>
    <w:p>
      <w:pPr>
        <w:rPr/>
      </w:pPr>
      <w:r>
        <w:rPr/>
        <w:t>15.1 从研究员到基金经理</w:t>
      </w:r>
    </w:p>
    <w:p>
      <w:pPr>
        <w:rPr/>
      </w:pPr>
      <w:r>
        <w:rPr/>
        <w:t>技术能力是基础，但不足以成为优秀基金经理。投资哲学的形成：是基于价值、趋势、套利还是其他逻辑？决策框架的建立：如何处理冲突信号？如何平衡模型输出与主观判断？风险偏好的认知：了解自己的风险承受能力，与策略风险匹配。领导力的培养：从个人贡献者到带领团队，从执行到决策。</w:t>
      </w:r>
    </w:p>
    <w:p>
      <w:pPr>
        <w:rPr/>
      </w:pPr>
      <w:r>
        <w:rPr/>
        <w:t>15.2 资本募集与投资者关系</w:t>
      </w:r>
    </w:p>
    <w:p>
      <w:pPr>
        <w:rPr/>
      </w:pPr>
      <w:r>
        <w:rPr/>
        <w:t>投资能力与募资能力是两套技能。理解投资者类型：养老金、捐赠基金、高净值个人各有不同需求和约束。业绩展示：不仅要展示收益，更要解释收益来源、风险特征、与市场环境的关系。透明沟通：定期报告、及时披露重大变化。管理预期：避免过度承诺，明确策略容量、预期收益风险特征。</w:t>
      </w:r>
    </w:p>
    <w:p>
      <w:pPr>
        <w:rPr/>
      </w:pPr>
      <w:r>
        <w:rPr/>
        <w:t>量化基金最大的客户管理难题，是“</w:t>
      </w:r>
      <w:r>
        <w:rPr>
          <w:b w:val="1"/>
        </w:rPr>
        <w:t>收益的不对称期待</w:t>
      </w:r>
      <w:r>
        <w:rPr/>
        <w:t>”。客户默认牛市里你应该比指数涨得多，熊市里你应该不亏钱。但量化策略有其适应的市场环境（Regime）。趋势策略在牛市表现好，在震荡市表现差；均值回归策略则相反。</w:t>
      </w:r>
      <w:r>
        <w:rPr>
          <w:b w:val="1"/>
        </w:rPr>
        <w:t>你不可能在所有市场都赢</w:t>
      </w:r>
      <w:r>
        <w:rPr/>
        <w:t>。因此，在募资时，必须清晰、反复、甚至强硬地向客户说明：你的策略在什么市场环境下会赚钱，在什么环境下会亏钱甚至停止交易。如果客户不能接受这一点，那么他们的钱你不能要。拿错的钱，会在你回撤时以赎回和诉讼的方式加倍索回。</w:t>
      </w:r>
    </w:p>
    <w:p>
      <w:pPr>
        <w:rPr/>
      </w:pPr>
      <w:r>
        <w:rPr/>
        <w:t>15.3 商业运营与合规</w:t>
      </w:r>
    </w:p>
    <w:p>
      <w:pPr>
        <w:rPr/>
      </w:pPr>
      <w:r>
        <w:rPr/>
        <w:t>基金运营包括交易执行、清算结算、估值核算、资金托管。选择服务商（券商、托管行、审计师）需考虑专业性、成本、技术接口。合规日益重要：内幕交易防范、利益冲突管理、最佳执行义务、信息披露要求。监管变化需持续跟踪，不同司法管辖区（美国SEC、CFTC，欧洲MiFID，亚洲各国监管）要求不同。</w:t>
      </w:r>
    </w:p>
    <w:p>
      <w:pPr>
        <w:rPr/>
      </w:pPr>
      <w:r>
        <w:rPr/>
        <w:t>量化投资领域持续进化。数据爆炸性增长，计算能力指数提升，算法不断革新。但核心挑战不变：在充满噪音的市场中发现微弱、持续的信号。未来的量化基金经理需具备T型知识结构：既有垂直领域的深度（特定资产类别、策略类型），又有广泛知识的广度（跨学科思维）。</w:t>
      </w:r>
    </w:p>
    <w:p>
      <w:pPr>
        <w:rPr/>
      </w:pPr>
      <w:r>
        <w:rPr/>
        <w:t>人工智能将继续渗透，但人类判断仍不可或缺——在模型选择、特征设计、风险控制、极端情况处理中。伦理考量日益重要：算法公平性、市场操纵防范、社会影响评估。成功的量化投资是科学、艺术与哲学的结合：科学的严谨、艺术的直觉、哲学的智慧，在不确定性中寻找确定性，在复杂中创造简洁，在波动中保持平衡。</w:t>
      </w:r>
    </w:p>
    <w:p>
      <w:pPr>
        <w:pStyle w:val="000004"/>
        <w:rPr/>
      </w:pPr>
      <w:r>
        <w:rPr>
          <w:b w:val="1"/>
        </w:rPr>
        <w:t>第十六章：从研究到实盘——跨越鸿沟的终极检验</w:t>
      </w:r>
      <w:r>
        <w:rPr/>
        <w:t>​</w:t>
      </w:r>
    </w:p>
    <w:p>
      <w:pPr>
        <w:rPr/>
      </w:pPr>
      <w:r>
        <w:rPr/>
        <w:t>一切研究的终点是实盘。但实盘的第一课永远是</w:t>
      </w:r>
      <w:r>
        <w:rPr>
          <w:b w:val="1"/>
        </w:rPr>
        <w:t>亏损</w:t>
      </w:r>
      <w:r>
        <w:rPr/>
        <w:t>。</w:t>
      </w:r>
    </w:p>
    <w:p>
      <w:pPr>
        <w:rPr/>
      </w:pPr>
      <w:r>
        <w:rPr/>
        <w:t>小亏是成本，大亏是事故：设定硬性风控规则，如单日亏损达2%则当日停手，单策略回撤达历史最大回撤1.5倍则强制暂停。</w:t>
      </w:r>
    </w:p>
    <w:p>
      <w:pPr>
        <w:rPr/>
      </w:pPr>
      <w:r>
        <w:rPr/>
        <w:t>你的第一个策略：应从逻辑简单、参数少、容量大的策略开始（如文中布林带均值回归策略）。用极小资金（如1万元）实盘跑3个月，目标不是盈利，而是完成“实盘亏损”的心理建设，并验证整个数据、研究、交易、风控流程。</w:t>
      </w:r>
    </w:p>
    <w:p>
      <w:pPr>
        <w:rPr/>
      </w:pPr>
      <w:r>
        <w:rPr/>
        <w:t>心理熔断：量化最大的敌人是自己。建立“熔断机制”，例如将账户密码交予信任之人保管，或在连续亏损、心态失衡时强制暂停交易。</w:t>
      </w:r>
    </w:p>
    <w:p>
      <w:pPr>
        <w:rPr/>
      </w:pPr>
      <w:r>
        <w:rPr/>
        <w:t>持续迭代：没有一个策略永久有效。量化基金经理的核心工作，是在策略失效前，通过持续研究和学习，开发出新的策略。从一万行回测代码到第一笔实盘盈利，这条路的价值，在于你亲手写下的、能“亏明白”的每一行代码。</w:t>
      </w:r>
    </w:p>
    <w:p>
      <w:pPr>
        <w:pStyle w:val="000004"/>
        <w:rPr/>
      </w:pPr>
      <w:r>
        <w:rPr>
          <w:b w:val="1"/>
        </w:rPr>
        <w:t>第十七章：策略的“生老病死”——量化策略全生命周期管理</w:t>
      </w:r>
      <w:r>
        <w:rPr/>
        <w:t>​</w:t>
      </w:r>
    </w:p>
    <w:p>
      <w:pPr>
        <w:numPr>
          <w:ilvl w:val="0"/>
          <w:numId w:val="22"/>
        </w:numPr>
        <w:rPr/>
      </w:pPr>
      <w:r>
        <w:rPr/>
        <w:t>策略孵化期：</w:t>
      </w:r>
    </w:p>
    <w:p>
      <w:pPr>
        <w:numPr>
          <w:ilvl w:val="0"/>
          <w:numId w:val="23"/>
        </w:numPr>
        <w:rPr/>
      </w:pPr>
      <w:r>
        <w:rPr/>
        <w:t>如何用极少量资金（如1万元）进行“实盘模拟”，暴露回测中未见的摩擦成本？</w:t>
      </w:r>
    </w:p>
    <w:p>
      <w:pPr>
        <w:numPr>
          <w:ilvl w:val="0"/>
          <w:numId w:val="23"/>
        </w:numPr>
        <w:rPr/>
      </w:pPr>
      <w:r>
        <w:rPr/>
        <w:t>策略逻辑的“可证伪性”设计：在什么市场现象出现时，必须承认策略逻辑失效？</w:t>
      </w:r>
    </w:p>
    <w:p>
      <w:pPr>
        <w:numPr>
          <w:ilvl w:val="0"/>
          <w:numId w:val="22"/>
        </w:numPr>
        <w:rPr/>
      </w:pPr>
      <w:r>
        <w:rPr/>
        <w:t>策略成熟期：</w:t>
      </w:r>
    </w:p>
    <w:p>
      <w:pPr>
        <w:numPr>
          <w:ilvl w:val="0"/>
          <w:numId w:val="24"/>
        </w:numPr>
        <w:rPr/>
      </w:pPr>
      <w:r>
        <w:rPr/>
        <w:t>监控策略的“健康指标”不止夏普比率，还包括：</w:t>
      </w:r>
    </w:p>
    <w:p>
      <w:pPr>
        <w:numPr>
          <w:ilvl w:val="1"/>
          <w:numId w:val="24"/>
        </w:numPr>
        <w:rPr/>
      </w:pPr>
      <w:r>
        <w:rPr/>
        <w:t>信号衰减率：预测准确率随时间推移的下降斜率。</w:t>
      </w:r>
    </w:p>
    <w:p>
      <w:pPr>
        <w:numPr>
          <w:ilvl w:val="1"/>
          <w:numId w:val="24"/>
        </w:numPr>
        <w:rPr/>
      </w:pPr>
      <w:r>
        <w:rPr/>
        <w:t>市场环境匹配度：策略在当前波动率、相关性、成交量结构下的历史表现分位数。</w:t>
      </w:r>
    </w:p>
    <w:p>
      <w:pPr>
        <w:numPr>
          <w:ilvl w:val="1"/>
          <w:numId w:val="24"/>
        </w:numPr>
        <w:rPr/>
      </w:pPr>
      <w:r>
        <w:rPr/>
        <w:t>拥挤度估计：通过同类策略产品净值相关性、因子暴露相似性，间接估算策略拥挤程度。</w:t>
      </w:r>
    </w:p>
    <w:p>
      <w:pPr>
        <w:numPr>
          <w:ilvl w:val="0"/>
          <w:numId w:val="24"/>
        </w:numPr>
        <w:rPr/>
      </w:pPr>
      <w:r>
        <w:rPr/>
        <w:t>策略的“渐进式迭代”方法：如何在不引入过拟合的前提下，对策略进行小幅度、高频次的微调？</w:t>
      </w:r>
    </w:p>
    <w:p>
      <w:pPr>
        <w:numPr>
          <w:ilvl w:val="0"/>
          <w:numId w:val="22"/>
        </w:numPr>
        <w:rPr/>
      </w:pPr>
      <w:r>
        <w:rPr/>
        <w:t>策略衰退与退役：</w:t>
      </w:r>
    </w:p>
    <w:p>
      <w:pPr>
        <w:numPr>
          <w:ilvl w:val="0"/>
          <w:numId w:val="25"/>
        </w:numPr>
        <w:rPr/>
      </w:pPr>
      <w:r>
        <w:rPr/>
        <w:t>识别策略失效的领先指标：通常是“收益分布形态改变”（如从正偏态变为负偏态）早于“夏普比率下降”。</w:t>
      </w:r>
    </w:p>
    <w:p>
      <w:pPr>
        <w:numPr>
          <w:ilvl w:val="0"/>
          <w:numId w:val="25"/>
        </w:numPr>
        <w:rPr/>
      </w:pPr>
      <w:r>
        <w:rPr/>
        <w:t>策略的“有序退出”：如何在不造成重大市场冲击、不引发连锁止损的前提下，平仓一个大规模失效策略？</w:t>
      </w:r>
    </w:p>
    <w:p>
      <w:pPr>
        <w:numPr>
          <w:ilvl w:val="0"/>
          <w:numId w:val="25"/>
        </w:numPr>
        <w:rPr/>
      </w:pPr>
      <w:r>
        <w:rPr/>
        <w:t>策略尸检：对退役策略进行完整归因分析，将失效原因归档，成为新策略研发的“错题本”。</w:t>
      </w:r>
    </w:p>
    <w:p>
      <w:pPr>
        <w:pStyle w:val="000004"/>
        <w:rPr/>
      </w:pPr>
      <w:r>
        <w:rPr>
          <w:b w:val="1"/>
        </w:rPr>
        <w:t>第十八章：量化基金的非线性崩溃——当多个“小概率”事件同时发生​</w:t>
      </w:r>
    </w:p>
    <w:p>
      <w:pPr>
        <w:numPr>
          <w:ilvl w:val="0"/>
          <w:numId w:val="26"/>
        </w:numPr>
        <w:rPr/>
      </w:pPr>
      <w:r>
        <w:rPr/>
        <w:t>风险的耦合效应：</w:t>
      </w:r>
    </w:p>
    <w:p>
      <w:pPr>
        <w:numPr>
          <w:ilvl w:val="0"/>
          <w:numId w:val="27"/>
        </w:numPr>
        <w:rPr/>
      </w:pPr>
      <w:r>
        <w:rPr/>
        <w:t>案例：2020年3月，疫情冲击（基本面风险）引发流动性枯竭（流动性风险），导致杠杆产品爆仓（杠杆风险），进而触发程序化抛售（模型同质化风险），最终造成抵押品贬值（信用风险）的死亡螺旋。</w:t>
      </w:r>
    </w:p>
    <w:p>
      <w:pPr>
        <w:numPr>
          <w:ilvl w:val="0"/>
          <w:numId w:val="27"/>
        </w:numPr>
        <w:rPr/>
      </w:pPr>
      <w:r>
        <w:rPr/>
        <w:t>如何建模风险因子间的“非线性关联”？引入系统性风险网络模型，用图论分析风险传染路径。</w:t>
      </w:r>
    </w:p>
    <w:p>
      <w:pPr>
        <w:numPr>
          <w:ilvl w:val="0"/>
          <w:numId w:val="26"/>
        </w:numPr>
        <w:rPr/>
      </w:pPr>
      <w:r>
        <w:rPr/>
        <w:t>压力测试的局限性：</w:t>
      </w:r>
    </w:p>
    <w:p>
      <w:pPr>
        <w:numPr>
          <w:ilvl w:val="0"/>
          <w:numId w:val="28"/>
        </w:numPr>
        <w:rPr/>
      </w:pPr>
      <w:r>
        <w:rPr/>
        <w:t>历史压力测试的盲区：未来危机永远与历史不同。</w:t>
      </w:r>
    </w:p>
    <w:p>
      <w:pPr>
        <w:numPr>
          <w:ilvl w:val="0"/>
          <w:numId w:val="28"/>
        </w:numPr>
        <w:rPr/>
      </w:pPr>
      <w:r>
        <w:rPr/>
        <w:t>构建“未发生但合理”的极端情景，例如：</w:t>
      </w:r>
    </w:p>
    <w:p>
      <w:pPr>
        <w:numPr>
          <w:ilvl w:val="1"/>
          <w:numId w:val="28"/>
        </w:numPr>
        <w:rPr/>
      </w:pPr>
      <w:r>
        <w:rPr/>
        <w:t>主要央行数字货币（CBDC）上线导致银行挤兑。</w:t>
      </w:r>
    </w:p>
    <w:p>
      <w:pPr>
        <w:numPr>
          <w:ilvl w:val="1"/>
          <w:numId w:val="28"/>
        </w:numPr>
        <w:rPr/>
      </w:pPr>
      <w:r>
        <w:rPr/>
        <w:t>地缘冲突导致关键海峡封锁，引发全球供应链与通胀的共振。</w:t>
      </w:r>
    </w:p>
    <w:p>
      <w:pPr>
        <w:numPr>
          <w:ilvl w:val="1"/>
          <w:numId w:val="28"/>
        </w:numPr>
        <w:rPr/>
      </w:pPr>
      <w:r>
        <w:rPr/>
        <w:t>AI交易算法出现群体性逻辑漏洞，在特定市场状态下共振性做多/做空。</w:t>
      </w:r>
    </w:p>
    <w:p>
      <w:pPr>
        <w:numPr>
          <w:ilvl w:val="0"/>
          <w:numId w:val="26"/>
        </w:numPr>
        <w:rPr/>
      </w:pPr>
      <w:r>
        <w:rPr/>
        <w:t>生存手册：</w:t>
      </w:r>
    </w:p>
    <w:p>
      <w:pPr>
        <w:numPr>
          <w:ilvl w:val="0"/>
          <w:numId w:val="29"/>
        </w:numPr>
        <w:rPr/>
      </w:pPr>
      <w:r>
        <w:rPr/>
        <w:t>冗余设计：在资金、流动性、系统、人员上均保留“冗余层”，而非追求极致效率。</w:t>
      </w:r>
    </w:p>
    <w:p>
      <w:pPr>
        <w:numPr>
          <w:ilvl w:val="0"/>
          <w:numId w:val="29"/>
        </w:numPr>
        <w:rPr/>
      </w:pPr>
      <w:r>
        <w:rPr/>
        <w:t>熔断层级：设计从“策略级”到“组合级”再到“公司级”的多层熔断机制，防止局部风险扩散。</w:t>
      </w:r>
    </w:p>
    <w:p>
      <w:pPr>
        <w:numPr>
          <w:ilvl w:val="0"/>
          <w:numId w:val="29"/>
        </w:numPr>
        <w:rPr/>
      </w:pPr>
      <w:r>
        <w:rPr/>
        <w:t>危机预案演练：像消防演习一样，定期模拟极端情景，测试团队响应与系统承压能力。</w:t>
      </w:r>
    </w:p>
    <w:p>
      <w:pPr>
        <w:pStyle w:val="000004"/>
        <w:rPr/>
      </w:pPr>
      <w:r>
        <w:rPr>
          <w:b w:val="1"/>
        </w:rPr>
        <w:t>第十九章：量化者的心性修炼——在概率与执念之间​</w:t>
      </w:r>
    </w:p>
    <w:p>
      <w:pPr>
        <w:numPr>
          <w:ilvl w:val="0"/>
          <w:numId w:val="30"/>
        </w:numPr>
        <w:rPr/>
      </w:pPr>
      <w:r>
        <w:rPr/>
        <w:t>决策心理的常见陷阱：</w:t>
      </w:r>
    </w:p>
    <w:p>
      <w:pPr>
        <w:numPr>
          <w:ilvl w:val="0"/>
          <w:numId w:val="31"/>
        </w:numPr>
        <w:rPr/>
      </w:pPr>
      <w:r>
        <w:rPr/>
        <w:t>知识诅咒：因自己懂得模型，便难以想象市场参与者不懂模型的行为，导致对“非理性波动”的持续性低估。</w:t>
      </w:r>
    </w:p>
    <w:p>
      <w:pPr>
        <w:numPr>
          <w:ilvl w:val="0"/>
          <w:numId w:val="31"/>
        </w:numPr>
        <w:rPr/>
      </w:pPr>
      <w:r>
        <w:rPr/>
        <w:t>叙事依赖：为策略的盈利或亏损编造事后归因的“故事”，从而强化错误认知。</w:t>
      </w:r>
    </w:p>
    <w:p>
      <w:pPr>
        <w:numPr>
          <w:ilvl w:val="0"/>
          <w:numId w:val="31"/>
        </w:numPr>
        <w:rPr/>
      </w:pPr>
      <w:r>
        <w:rPr/>
        <w:t>概率的错觉：将“小概率”等同于“不会发生”，在策略运行顺畅期不断加大杠杆，直至黑天鹅降临。</w:t>
      </w:r>
    </w:p>
    <w:p>
      <w:pPr>
        <w:numPr>
          <w:ilvl w:val="0"/>
          <w:numId w:val="30"/>
        </w:numPr>
        <w:rPr/>
      </w:pPr>
      <w:r>
        <w:rPr/>
        <w:t>构建抗脆弱的心智系统：</w:t>
      </w:r>
    </w:p>
    <w:p>
      <w:pPr>
        <w:numPr>
          <w:ilvl w:val="0"/>
          <w:numId w:val="32"/>
        </w:numPr>
        <w:rPr/>
      </w:pPr>
      <w:r>
        <w:rPr/>
        <w:t>每日决策日志：记录每笔交易背后的真实决策动机（是信号触发，还是情绪驱动？），定期复盘。</w:t>
      </w:r>
    </w:p>
    <w:p>
      <w:pPr>
        <w:numPr>
          <w:ilvl w:val="0"/>
          <w:numId w:val="32"/>
        </w:numPr>
        <w:rPr/>
      </w:pPr>
      <w:r>
        <w:rPr/>
        <w:t>设置“反自我”角色：在团队中或通过外部顾问，设立一个专门挑战你核心假设的“魔鬼代言人”。</w:t>
      </w:r>
    </w:p>
    <w:p>
      <w:pPr>
        <w:numPr>
          <w:ilvl w:val="0"/>
          <w:numId w:val="32"/>
        </w:numPr>
        <w:rPr/>
      </w:pPr>
      <w:r>
        <w:rPr/>
        <w:t>定期“认知重置”：强迫自己阅读与现有投资哲学相悖的经典著作，或与不同策略流派的一线交易员深入交流，防止思维固化。</w:t>
      </w:r>
    </w:p>
    <w:p>
      <w:pPr>
        <w:numPr>
          <w:ilvl w:val="0"/>
          <w:numId w:val="30"/>
        </w:numPr>
        <w:rPr/>
      </w:pPr>
      <w:r>
        <w:rPr/>
        <w:t>量化与人生的终极悖论：</w:t>
      </w:r>
    </w:p>
    <w:p>
      <w:pPr>
        <w:numPr>
          <w:ilvl w:val="0"/>
          <w:numId w:val="33"/>
        </w:numPr>
        <w:rPr/>
      </w:pPr>
      <w:r>
        <w:rPr/>
        <w:t>我们用量化追求市场的“确定性规律”，但真正的规律是“一切规律都将被进化与竞争所改变”。</w:t>
      </w:r>
    </w:p>
    <w:p>
      <w:pPr>
        <w:numPr>
          <w:ilvl w:val="0"/>
          <w:numId w:val="33"/>
        </w:numPr>
        <w:rPr/>
      </w:pPr>
      <w:r>
        <w:rPr/>
        <w:t>我们用量化管理风险，但最大的风险是“以为风险已被管理”的傲慢。</w:t>
      </w:r>
    </w:p>
    <w:p>
      <w:pPr>
        <w:numPr>
          <w:ilvl w:val="0"/>
          <w:numId w:val="33"/>
        </w:numPr>
        <w:rPr/>
      </w:pPr>
      <w:r>
        <w:rPr/>
        <w:t>最终，顶尖的量化投资者不是在优化模型，而是在优化“承载模型的自己”——一个能持续学习、敬畏市场、在逆境中保持理性、在顺境中保持清醒的复杂系统。</w:t>
      </w:r>
    </w:p>
    <w:p>
      <w:pPr>
        <w:rPr/>
      </w:pPr>
      <w:r>
        <w:rPr>
          <w:b w:val="1"/>
        </w:rPr>
        <w:t>第二十章：实验室前沿——2026-2027年的量化可能形态</w:t>
      </w:r>
      <w:r>
        <w:rPr/>
        <w:t>​</w:t>
      </w:r>
    </w:p>
    <w:p>
      <w:pPr>
        <w:numPr>
          <w:ilvl w:val="0"/>
          <w:numId w:val="34"/>
        </w:numPr>
        <w:rPr/>
      </w:pPr>
      <w:r>
        <w:rPr/>
        <w:t>基础模型的金融化：</w:t>
      </w:r>
    </w:p>
    <w:p>
      <w:pPr>
        <w:numPr>
          <w:ilvl w:val="0"/>
          <w:numId w:val="35"/>
        </w:numPr>
        <w:rPr/>
      </w:pPr>
      <w:r>
        <w:rPr/>
        <w:t>现状：直接用GPT看财报、做摘要。</w:t>
      </w:r>
    </w:p>
    <w:p>
      <w:pPr>
        <w:numPr>
          <w:ilvl w:val="0"/>
          <w:numId w:val="35"/>
        </w:numPr>
        <w:rPr/>
      </w:pPr>
      <w:r>
        <w:rPr/>
        <w:t>前沿：训练金融专用基础模型，从海量跨市场、跨资产、跨模态（文本、数据、音频）数据中，提取统一的“金融世界表示”。它不直接预测价格，而是输出市场状态嵌入向量，供下游策略模型调用。</w:t>
      </w:r>
    </w:p>
    <w:p>
      <w:pPr>
        <w:numPr>
          <w:ilvl w:val="0"/>
          <w:numId w:val="35"/>
        </w:numPr>
        <w:rPr/>
      </w:pPr>
      <w:r>
        <w:rPr/>
        <w:t>关键问题：如何防止模型学到“操纵市场”的方法？</w:t>
      </w:r>
    </w:p>
    <w:p>
      <w:pPr>
        <w:numPr>
          <w:ilvl w:val="0"/>
          <w:numId w:val="34"/>
        </w:numPr>
        <w:rPr/>
      </w:pPr>
      <w:r>
        <w:rPr/>
        <w:t>因果推断的工业化：</w:t>
      </w:r>
    </w:p>
    <w:p>
      <w:pPr>
        <w:numPr>
          <w:ilvl w:val="0"/>
          <w:numId w:val="36"/>
        </w:numPr>
        <w:rPr/>
      </w:pPr>
      <w:r>
        <w:rPr/>
        <w:t>现状：在论文里用双重差分、工具变量。</w:t>
      </w:r>
    </w:p>
    <w:p>
      <w:pPr>
        <w:numPr>
          <w:ilvl w:val="0"/>
          <w:numId w:val="36"/>
        </w:numPr>
        <w:rPr/>
      </w:pPr>
      <w:r>
        <w:rPr/>
        <w:t>前沿：构建全天候因果发现系统，实时监测宏观经济变量、政策事件、公司行为与资产价格间的因果结构变化，并在因果图突变时发出预警。</w:t>
      </w:r>
    </w:p>
    <w:p>
      <w:pPr>
        <w:numPr>
          <w:ilvl w:val="0"/>
          <w:numId w:val="36"/>
        </w:numPr>
        <w:rPr/>
      </w:pPr>
      <w:r>
        <w:rPr/>
        <w:t>关键问题：高维因果发现的计算复杂性与可靠性。</w:t>
      </w:r>
    </w:p>
    <w:p>
      <w:pPr>
        <w:numPr>
          <w:ilvl w:val="0"/>
          <w:numId w:val="34"/>
        </w:numPr>
        <w:rPr/>
      </w:pPr>
      <w:r>
        <w:rPr/>
        <w:t>人机协同决策：</w:t>
      </w:r>
    </w:p>
    <w:p>
      <w:pPr>
        <w:numPr>
          <w:ilvl w:val="0"/>
          <w:numId w:val="37"/>
        </w:numPr>
        <w:rPr/>
      </w:pPr>
      <w:r>
        <w:rPr/>
        <w:t>现状：人监督机器，或机器给人建议。</w:t>
      </w:r>
    </w:p>
    <w:p>
      <w:pPr>
        <w:numPr>
          <w:ilvl w:val="0"/>
          <w:numId w:val="37"/>
        </w:numPr>
        <w:rPr/>
      </w:pPr>
      <w:r>
        <w:rPr/>
        <w:t>前沿：双向脑机接口辅助决策（注意，是“辅助”）。通过神经信号实时监测交易员的“潜意识的警惕”或“过度的自信”，与模型信号进行加权融合。或在回撤期，用经颅磁刺激（TMS）轻微抑制交易员的焦虑相关脑区活动。</w:t>
      </w:r>
    </w:p>
    <w:p>
      <w:pPr>
        <w:numPr>
          <w:ilvl w:val="0"/>
          <w:numId w:val="37"/>
        </w:numPr>
        <w:rPr/>
      </w:pPr>
      <w:r>
        <w:rPr/>
        <w:t>关键问题：伦理、监管，以及“谁最终负责”。</w:t>
      </w:r>
    </w:p>
    <w:p>
      <w:pPr>
        <w:numPr>
          <w:ilvl w:val="0"/>
          <w:numId w:val="34"/>
        </w:numPr>
        <w:rPr/>
      </w:pPr>
      <w:r>
        <w:rPr/>
        <w:t>量子计算在优化问题中的早期应用：</w:t>
      </w:r>
    </w:p>
    <w:p>
      <w:pPr>
        <w:numPr>
          <w:ilvl w:val="0"/>
          <w:numId w:val="38"/>
        </w:numPr>
        <w:rPr/>
      </w:pPr>
      <w:r>
        <w:rPr/>
        <w:t>现状：炒作多于实用。</w:t>
      </w:r>
    </w:p>
    <w:p>
      <w:pPr>
        <w:numPr>
          <w:ilvl w:val="0"/>
          <w:numId w:val="38"/>
        </w:numPr>
        <w:rPr/>
      </w:pPr>
      <w:r>
        <w:rPr/>
        <w:t>前沿：在特定问题上，如大规模组合优化（数万只资产）或高维期权定价，使用量子退火或变分量子算法，寻找比经典算法更优的近似解。</w:t>
      </w:r>
    </w:p>
    <w:p>
      <w:pPr>
        <w:numPr>
          <w:ilvl w:val="0"/>
          <w:numId w:val="38"/>
        </w:numPr>
        <w:rPr/>
      </w:pPr>
      <w:r>
        <w:rPr/>
        <w:t>关键问题：量子硬件的噪声、误差与稳定性。</w:t>
      </w:r>
    </w:p>
    <w:p>
      <w:pPr>
        <w:pStyle w:val="000004"/>
        <w:rPr/>
      </w:pPr>
      <w:r>
        <w:rPr>
          <w:b w:val="1"/>
        </w:rPr>
        <w:t>终章：量化之外——市场、科技与社会的无限博弈</w:t>
      </w:r>
      <w:r>
        <w:rPr/>
        <w:t>​</w:t>
      </w:r>
    </w:p>
    <w:p>
      <w:pPr>
        <w:numPr>
          <w:ilvl w:val="0"/>
          <w:numId w:val="39"/>
        </w:numPr>
        <w:rPr/>
      </w:pPr>
      <w:r>
        <w:rPr/>
        <w:t>市场是一个反身性系统：</w:t>
      </w:r>
    </w:p>
    <w:p>
      <w:pPr>
        <w:numPr>
          <w:ilvl w:val="0"/>
          <w:numId w:val="40"/>
        </w:numPr>
        <w:rPr/>
      </w:pPr>
      <w:r>
        <w:rPr/>
        <w:t>你的量化策略本身会改变市场。当足够多的人使用相似的机器学习因子，这些因子就会从Alpha变成Beta，然后失效。</w:t>
      </w:r>
    </w:p>
    <w:p>
      <w:pPr>
        <w:numPr>
          <w:ilvl w:val="0"/>
          <w:numId w:val="40"/>
        </w:numPr>
        <w:rPr/>
      </w:pPr>
      <w:r>
        <w:rPr/>
        <w:t>研究“策略生态学”：不同策略（趋势、反转、套利）如何在市场中共生、竞争、演化。</w:t>
      </w:r>
    </w:p>
    <w:p>
      <w:pPr>
        <w:numPr>
          <w:ilvl w:val="0"/>
          <w:numId w:val="39"/>
        </w:numPr>
        <w:rPr/>
      </w:pPr>
      <w:r>
        <w:rPr/>
        <w:t>技术民主化与超额收益的湮灭：</w:t>
      </w:r>
    </w:p>
    <w:p>
      <w:pPr>
        <w:numPr>
          <w:ilvl w:val="0"/>
          <w:numId w:val="41"/>
        </w:numPr>
        <w:rPr/>
      </w:pPr>
      <w:r>
        <w:rPr/>
        <w:t>当GPT-7能一键生成夏普1.5的策略，当云计算让个人拥有媲美对冲基金的计算能力，当数据市场变得透明——技术壁垒带来的溢价将归零。</w:t>
      </w:r>
    </w:p>
    <w:p>
      <w:pPr>
        <w:numPr>
          <w:ilvl w:val="0"/>
          <w:numId w:val="41"/>
        </w:numPr>
        <w:rPr/>
      </w:pPr>
      <w:r>
        <w:rPr/>
        <w:t>未来的Alpha可能源于：</w:t>
      </w:r>
    </w:p>
    <w:p>
      <w:pPr>
        <w:numPr>
          <w:ilvl w:val="1"/>
          <w:numId w:val="41"/>
        </w:numPr>
        <w:rPr/>
      </w:pPr>
      <w:r>
        <w:rPr/>
        <w:t>独特的数据获取能力（物理的、社交的、合规的）。</w:t>
      </w:r>
    </w:p>
    <w:p>
      <w:pPr>
        <w:numPr>
          <w:ilvl w:val="1"/>
          <w:numId w:val="41"/>
        </w:numPr>
        <w:rPr/>
      </w:pPr>
      <w:r>
        <w:rPr/>
        <w:t>对复杂系统的跨学科理解（物理、生物、社会学）。</w:t>
      </w:r>
    </w:p>
    <w:p>
      <w:pPr>
        <w:numPr>
          <w:ilvl w:val="1"/>
          <w:numId w:val="41"/>
        </w:numPr>
        <w:rPr/>
      </w:pPr>
      <w:r>
        <w:rPr/>
        <w:t>在极端压力下依然能执行策略的“心理硬件”。</w:t>
      </w:r>
    </w:p>
    <w:p>
      <w:pPr>
        <w:numPr>
          <w:ilvl w:val="0"/>
          <w:numId w:val="39"/>
        </w:numPr>
        <w:rPr/>
      </w:pPr>
      <w:r>
        <w:rPr/>
        <w:t>量化的终极形态：</w:t>
      </w:r>
    </w:p>
    <w:p>
      <w:pPr>
        <w:numPr>
          <w:ilvl w:val="0"/>
          <w:numId w:val="42"/>
        </w:numPr>
        <w:rPr/>
      </w:pPr>
      <w:r>
        <w:rPr/>
        <w:t>或许不再是“用数学预测价格”，而是“用复杂系统建模，理解市场作为信息处理网络的效率边界，并在边界附近进行风险调整后的资源分配”。</w:t>
      </w:r>
    </w:p>
    <w:p>
      <w:pPr>
        <w:numPr>
          <w:ilvl w:val="0"/>
          <w:numId w:val="42"/>
        </w:numPr>
        <w:rPr/>
      </w:pPr>
      <w:r>
        <w:rPr/>
        <w:t>它会更像生态学、热力学和认知科学的交叉。</w:t>
      </w:r>
    </w:p>
    <w:p>
      <w:pPr>
        <w:rPr/>
      </w:pPr>
      <w:r>
        <w:rPr>
          <w:shd w:fill="ffffff"/>
        </w:rPr>
        <w:t>如果策略的寿命越来越短，那量化基金经理的护城河到底是什么？</w:t>
      </w:r>
    </w:p>
    <w:p>
      <w:pPr>
        <w:rPr/>
      </w:pPr>
      <w:r>
        <w:rPr>
          <w:shd w:fill="ffffff"/>
        </w:rPr>
        <w:t>不是模型，不是数据，不是速度——是</w:t>
      </w:r>
      <w:r>
        <w:rPr>
          <w:b w:val="1"/>
          <w:shd w:fill="ffffff"/>
        </w:rPr>
        <w:t>迭代的速度</w:t>
      </w:r>
      <w:r>
        <w:rPr>
          <w:shd w:fill="ffffff"/>
        </w:rPr>
        <w:t>。</w:t>
      </w:r>
    </w:p>
    <w:p>
      <w:pPr>
        <w:rPr/>
      </w:pPr>
      <w:r>
        <w:rPr>
          <w:shd w:fill="ffffff"/>
        </w:rPr>
        <w:t>你的策略会死，但如果你死之前能长出下一个策略，你就活着。</w:t>
      </w:r>
    </w:p>
    <w:p>
      <w:pPr>
        <w:rPr/>
      </w:pPr>
      <w:r>
        <w:rPr>
          <w:b w:val="1"/>
          <w:shd w:fill="ffffff"/>
        </w:rPr>
        <w:t>延伸阅读</w:t>
      </w:r>
    </w:p>
    <w:p>
      <w:pPr>
        <w:rPr/>
      </w:pPr>
      <w:r>
        <w:rPr>
          <w:b w:val="1"/>
          <w:shd w:fill="ffffff"/>
        </w:rPr>
        <w:t>第一章 数理统计与建模基础</w:t>
      </w:r>
    </w:p>
    <w:p>
      <w:pPr>
        <w:numPr>
          <w:ilvl w:val="0"/>
          <w:numId w:val="43"/>
        </w:numPr>
        <w:rPr/>
      </w:pPr>
      <w:r>
        <w:rPr/>
        <w:t>《统计学习的本质》（Hastie等）—— 理解“从数据到模型”的本质</w:t>
      </w:r>
    </w:p>
    <w:p>
      <w:pPr>
        <w:numPr>
          <w:ilvl w:val="0"/>
          <w:numId w:val="43"/>
        </w:numPr>
        <w:rPr/>
      </w:pPr>
      <w:r>
        <w:rPr/>
        <w:t>《金融时间序列分析》（Ruey S. Tsay）—— 时间序列的经典教材</w:t>
      </w:r>
    </w:p>
    <w:p>
      <w:pPr>
        <w:rPr/>
      </w:pPr>
      <w:r>
        <w:rPr>
          <w:b w:val="1"/>
          <w:shd w:fill="ffffff"/>
        </w:rPr>
        <w:t>第二章 机器学习与人工智能</w:t>
      </w:r>
    </w:p>
    <w:p>
      <w:pPr>
        <w:numPr>
          <w:ilvl w:val="0"/>
          <w:numId w:val="44"/>
        </w:numPr>
        <w:rPr/>
      </w:pPr>
      <w:r>
        <w:rPr/>
        <w:t>《机器学习实战：基于Scikit-Learn、Keras和TensorFlow》—— 工程落地的好帮手</w:t>
      </w:r>
    </w:p>
    <w:p>
      <w:pPr>
        <w:numPr>
          <w:ilvl w:val="0"/>
          <w:numId w:val="44"/>
        </w:numPr>
        <w:rPr/>
      </w:pPr>
      <w:r>
        <w:rPr/>
        <w:t>《Advances in Financial Machine Learning》（Marcos López de Prado）—— 量化圈必读，尤其是“回测陷阱”那一章</w:t>
      </w:r>
    </w:p>
    <w:p>
      <w:pPr>
        <w:rPr/>
      </w:pPr>
      <w:r>
        <w:rPr>
          <w:b w:val="1"/>
          <w:shd w:fill="ffffff"/>
        </w:rPr>
        <w:t>第四章 编程与系统开发</w:t>
      </w:r>
    </w:p>
    <w:p>
      <w:pPr>
        <w:numPr>
          <w:ilvl w:val="0"/>
          <w:numId w:val="45"/>
        </w:numPr>
        <w:rPr/>
      </w:pPr>
      <w:r>
        <w:rPr/>
        <w:t>《Python for Finance》（Yves Hilpisch）—— 从研究到生产的桥梁</w:t>
      </w:r>
    </w:p>
    <w:p>
      <w:pPr>
        <w:numPr>
          <w:ilvl w:val="0"/>
          <w:numId w:val="45"/>
        </w:numPr>
        <w:rPr/>
      </w:pPr>
      <w:r>
        <w:rPr/>
        <w:t>《设计数据密集型应用》（Martin Kleppmann）—— 如果你要搭建自己的回测/交易系统</w:t>
      </w:r>
    </w:p>
    <w:p>
      <w:pPr>
        <w:rPr/>
      </w:pPr>
      <w:r>
        <w:rPr>
          <w:b w:val="1"/>
          <w:shd w:fill="ffffff"/>
        </w:rPr>
        <w:t>第五章 投资心理与纪律</w:t>
      </w:r>
    </w:p>
    <w:p>
      <w:pPr>
        <w:numPr>
          <w:ilvl w:val="0"/>
          <w:numId w:val="46"/>
        </w:numPr>
        <w:rPr/>
      </w:pPr>
      <w:r>
        <w:rPr/>
        <w:t>《思考，快与慢》（Daniel Kahneman）—— 认知偏差的经典</w:t>
      </w:r>
    </w:p>
    <w:p>
      <w:pPr>
        <w:numPr>
          <w:ilvl w:val="0"/>
          <w:numId w:val="46"/>
        </w:numPr>
        <w:rPr/>
      </w:pPr>
      <w:r>
        <w:rPr/>
        <w:t>《原则》（Ray Dalio）—— 如何在机构中建立决策系统</w:t>
      </w:r>
    </w:p>
    <w:p>
      <w:pPr>
        <w:rPr/>
      </w:pPr>
      <w:r>
        <w:rPr>
          <w:b w:val="1"/>
          <w:shd w:fill="ffffff"/>
        </w:rPr>
        <w:t>终章 量化之外</w:t>
      </w:r>
    </w:p>
    <w:p>
      <w:pPr>
        <w:numPr>
          <w:ilvl w:val="0"/>
          <w:numId w:val="47"/>
        </w:numPr>
        <w:rPr/>
      </w:pPr>
      <w:r>
        <w:rPr/>
        <w:t>《黑天鹅》（Nassim Taleb）—— 理解你不知道自己不知道的东西</w:t>
      </w:r>
    </w:p>
    <w:p>
      <w:pPr>
        <w:numPr>
          <w:ilvl w:val="0"/>
          <w:numId w:val="47"/>
        </w:numPr>
        <w:rPr/>
      </w:pPr>
      <w:r>
        <w:rPr/>
        <w:t>《穷查理宝典》（Charlie Munger）—— 跨学科思维模型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"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5"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6"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7"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8">
    <w:lvl w:ilvl="5">
      <w:start w:val="1"/>
      <w:numFmt w:val="lowerRoman"/>
      <w:lvlText w:val="%6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  <w:lvl w:ilvl="0">
      <w:start w:val="1"/>
      <w:numFmt w:val="decimal"/>
      <w:lvlText w:val="%1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</w:abstractNum>
  <w:abstractNum w:abstractNumId="9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10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11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2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3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4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5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6"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17"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18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9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20"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21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22"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23">
    <w:lvl w:ilvl="1">
      <w:start w:val="1"/>
      <w:numFmt w:val="lowerLetter"/>
      <w:lvlText w:val="%2."/>
      <w:lvlJc w:val="left"/>
      <w:pPr>
        <w:ind w:left="121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</w:abstractNum>
  <w:abstractNum w:abstractNumId="24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25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6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7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8"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9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30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31"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2"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33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4"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5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6"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37"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38"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39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40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1"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42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4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44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5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46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num w:numId="33">
    <w:abstractNumId w:val="5"/>
  </w:num>
  <w:num w:numId="47">
    <w:abstractNumId w:val="0"/>
  </w:num>
  <w:num w:numId="16">
    <w:abstractNumId w:val="24"/>
  </w:num>
  <w:num w:numId="43">
    <w:abstractNumId w:val="11"/>
  </w:num>
  <w:num w:numId="41">
    <w:abstractNumId w:val="16"/>
  </w:num>
  <w:num w:numId="37">
    <w:abstractNumId w:val="21"/>
  </w:num>
  <w:num w:numId="28">
    <w:abstractNumId w:val="33"/>
  </w:num>
  <w:num w:numId="31">
    <w:abstractNumId w:val="30"/>
  </w:num>
  <w:num w:numId="26">
    <w:abstractNumId w:val="26"/>
  </w:num>
  <w:num w:numId="27">
    <w:abstractNumId w:val="37"/>
  </w:num>
  <w:num w:numId="44">
    <w:abstractNumId w:val="4"/>
  </w:num>
  <w:num w:numId="14">
    <w:abstractNumId w:val="27"/>
  </w:num>
  <w:num w:numId="15">
    <w:abstractNumId w:val="34"/>
  </w:num>
  <w:num w:numId="1">
    <w:abstractNumId w:val="10"/>
  </w:num>
  <w:num w:numId="20">
    <w:abstractNumId w:val="18"/>
  </w:num>
  <w:num w:numId="6">
    <w:abstractNumId w:val="40"/>
  </w:num>
  <w:num w:numId="29">
    <w:abstractNumId w:val="2"/>
  </w:num>
  <w:num w:numId="17">
    <w:abstractNumId w:val="38"/>
  </w:num>
  <w:num w:numId="38">
    <w:abstractNumId w:val="7"/>
  </w:num>
  <w:num w:numId="25">
    <w:abstractNumId w:val="17"/>
  </w:num>
  <w:num w:numId="30">
    <w:abstractNumId w:val="44"/>
  </w:num>
  <w:num w:numId="11">
    <w:abstractNumId w:val="41"/>
  </w:num>
  <w:num w:numId="23">
    <w:abstractNumId w:val="6"/>
  </w:num>
  <w:num w:numId="40">
    <w:abstractNumId w:val="22"/>
  </w:num>
  <w:num w:numId="32">
    <w:abstractNumId w:val="39"/>
  </w:num>
  <w:num w:numId="4">
    <w:abstractNumId w:val="8"/>
  </w:num>
  <w:num w:numId="35">
    <w:abstractNumId w:val="3"/>
  </w:num>
  <w:num w:numId="2">
    <w:abstractNumId w:val="23"/>
  </w:num>
  <w:num w:numId="39">
    <w:abstractNumId w:val="1"/>
  </w:num>
  <w:num w:numId="5">
    <w:abstractNumId w:val="43"/>
  </w:num>
  <w:num w:numId="34">
    <w:abstractNumId w:val="15"/>
  </w:num>
  <w:num w:numId="24">
    <w:abstractNumId w:val="36"/>
  </w:num>
  <w:num w:numId="18">
    <w:abstractNumId w:val="20"/>
  </w:num>
  <w:num w:numId="19">
    <w:abstractNumId w:val="35"/>
  </w:num>
  <w:num w:numId="12">
    <w:abstractNumId w:val="31"/>
  </w:num>
  <w:num w:numId="13">
    <w:abstractNumId w:val="14"/>
  </w:num>
  <w:num w:numId="42">
    <w:abstractNumId w:val="19"/>
  </w:num>
  <w:num w:numId="22">
    <w:abstractNumId w:val="13"/>
  </w:num>
  <w:num w:numId="7">
    <w:abstractNumId w:val="32"/>
  </w:num>
  <w:num w:numId="46">
    <w:abstractNumId w:val="45"/>
  </w:num>
  <w:num w:numId="36">
    <w:abstractNumId w:val="9"/>
  </w:num>
  <w:num w:numId="10">
    <w:abstractNumId w:val="25"/>
  </w:num>
  <w:num w:numId="3">
    <w:abstractNumId w:val="29"/>
  </w:num>
  <w:num w:numId="9">
    <w:abstractNumId w:val="12"/>
  </w:num>
  <w:num w:numId="45">
    <w:abstractNumId w:val="42"/>
  </w:num>
  <w:num w:numId="8">
    <w:abstractNumId w:val="28"/>
  </w:num>
  <w:num w:numId="21">
    <w:abstractNumId w:val="46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Grid 7" w:semiHidden="1" w:unhideWhenUsed="1"/>
    <w:lsdException w:name="Medium Shading 1 Accent 1" w:uiPriority="63"/>
    <w:lsdException w:name="Default Paragraph Font" w:uiPriority="1" w:semiHidden="1" w:unhideWhenUsed="1"/>
    <w:lsdException w:name="Colorful Grid Accent 5" w:uiPriority="73"/>
    <w:lsdException w:name="List Table 1 Light Accent 3" w:uiPriority="46"/>
    <w:lsdException w:name="Medium Grid 1" w:uiPriority="67"/>
    <w:lsdException w:name="List Table 6 Colorful Accent 4" w:uiPriority="51"/>
    <w:lsdException w:name="List Table 6 Colorful Accent 6" w:uiPriority="51"/>
    <w:lsdException w:name="Light Shading Accent 3" w:uiPriority="60"/>
    <w:lsdException w:name="Subtle Reference" w:uiPriority="31" w:qFormat="1"/>
    <w:lsdException w:name="Dark List Accent 1" w:uiPriority="70"/>
    <w:lsdException w:name="List Table 4 Accent 6" w:uiPriority="49"/>
    <w:lsdException w:name="Colorful Grid Accent 2" w:uiPriority="73"/>
    <w:lsdException w:name="Colorful Shading Accent 1" w:uiPriority="71"/>
    <w:lsdException w:name="Medium List 1 Accent 1" w:uiPriority="65"/>
    <w:lsdException w:name="Grid Table 2" w:uiPriority="47"/>
    <w:lsdException w:name="List Table 1 Light" w:uiPriority="46"/>
    <w:lsdException w:name="Table Web 2" w:semiHidden="1" w:unhideWhenUsed="1"/>
    <w:lsdException w:name="Medium Shading 2 Accent 3" w:uiPriority="64"/>
    <w:lsdException w:name="Table Web 1" w:semiHidden="1" w:unhideWhenUsed="1"/>
    <w:lsdException w:name="Table Grid 8" w:semiHidden="1" w:unhideWhenUsed="1"/>
    <w:lsdException w:name="Intense Reference" w:uiPriority="32" w:qFormat="1"/>
    <w:lsdException w:name="Grid Table 5 Dark Accent 4" w:uiPriority="50"/>
    <w:lsdException w:name="Colorful List Accent 3" w:uiPriority="72"/>
    <w:lsdException w:name="toc 1" w:uiPriority="99"/>
    <w:lsdException w:name="Medium Grid 1 Accent 3" w:uiPriority="67"/>
    <w:lsdException w:name="Smart Hyperlink" w:uiPriority="99" w:semiHidden="1" w:unhideWhenUsed="1"/>
    <w:lsdException w:name="Dark List Accent 6" w:uiPriority="70"/>
    <w:lsdException w:name="Grid Table 5 Dark Accent 5" w:uiPriority="50"/>
    <w:lsdException w:name="List Table 6 Colorful" w:uiPriority="51"/>
    <w:lsdException w:name="Table Columns 2" w:semiHidden="1" w:unhideWhenUsed="1"/>
    <w:lsdException w:name="Medium Grid 1 Accent 6" w:uiPriority="67"/>
    <w:lsdException w:name="heading 9" w:unhideWhenUsed="1" w:qFormat="1"/>
    <w:lsdException w:name="heading 6" w:qFormat="1"/>
    <w:lsdException w:name="Grid Table 5 Dark Accent 3" w:uiPriority="50"/>
    <w:lsdException w:name="Bibliography" w:uiPriority="37" w:semiHidden="1" w:unhideWhenUsed="1"/>
    <w:lsdException w:name="No List" w:uiPriority="99" w:semiHidden="1" w:unhideWhenUsed="1"/>
    <w:lsdException w:name="Grid Table Light" w:uiPriority="40"/>
    <w:lsdException w:name="Table Colorful 2" w:semiHidden="1" w:unhideWhenUsed="1"/>
    <w:lsdException w:name="Outline List 3" w:uiPriority="99" w:semiHidden="1" w:unhideWhenUsed="1"/>
    <w:lsdException w:name="Grid Table 3" w:uiPriority="48"/>
    <w:lsdException w:name="List Table 3 Accent 1" w:uiPriority="48"/>
    <w:lsdException w:name="Medium List 2 Accent 2" w:uiPriority="66"/>
    <w:lsdException w:name="Grid Table 1 Light Accent 1" w:uiPriority="46"/>
    <w:lsdException w:name="List Table 3 Accent 4" w:uiPriority="48"/>
    <w:lsdException w:name="Table 3D effects 1" w:semiHidden="1" w:unhideWhenUsed="1"/>
    <w:lsdException w:name="Grid Table 3 Accent 3" w:uiPriority="48"/>
    <w:lsdException w:name="Light Shading" w:uiPriority="60"/>
    <w:lsdException w:name="Grid Table 1 Light Accent 3" w:uiPriority="46"/>
    <w:lsdException w:name="Grid Table 2 Accent 2" w:uiPriority="47"/>
    <w:lsdException w:name="Light List Accent 4" w:uiPriority="61"/>
    <w:lsdException w:name="Table Grid" w:qFormat="1"/>
    <w:lsdException w:name="Table Grid 3" w:semiHidden="1" w:unhideWhenUsed="1"/>
    <w:lsdException w:name="Light Grid Accent 4" w:uiPriority="62"/>
    <w:lsdException w:name="Grid Table 5 Dark Accent 6" w:uiPriority="50"/>
    <w:lsdException w:name="Medium Grid 1 Accent 1" w:uiPriority="67"/>
    <w:lsdException w:name="List Table 2 Accent 5" w:uiPriority="47"/>
    <w:lsdException w:name="Medium Grid 2 Accent 4" w:uiPriority="68"/>
    <w:lsdException w:name="Medium Shading 2 Accent 4" w:uiPriority="64"/>
    <w:lsdException w:name="List Table 1 Light Accent 6" w:uiPriority="46"/>
    <w:lsdException w:name="Unresolved Mention" w:uiPriority="99" w:semiHidden="1" w:unhideWhenUsed="1"/>
    <w:lsdException w:name="HTML Keyboard" w:uiPriority="99"/>
    <w:lsdException w:name="Grid Table 7 Colorful Accent 2" w:uiPriority="52"/>
    <w:lsdException w:name="List Table 2 Accent 3" w:uiPriority="47"/>
    <w:lsdException w:name="Grid Table 2 Accent 4" w:uiPriority="47"/>
    <w:lsdException w:name="List Table 5 Dark Accent 2" w:uiPriority="50"/>
    <w:lsdException w:name="List Table 4 Accent 1" w:uiPriority="49"/>
    <w:lsdException w:name="HTML Code" w:uiPriority="99"/>
    <w:lsdException w:name="Light Grid" w:uiPriority="62"/>
    <w:lsdException w:name="Medium List 2 Accent 4" w:uiPriority="66"/>
    <w:lsdException w:name="Grid Table 4 Accent 2" w:uiPriority="49"/>
    <w:lsdException w:name="List Table 1 Light Accent 2" w:uiPriority="46"/>
    <w:lsdException w:name="Mention" w:uiPriority="99" w:semiHidden="1" w:unhideWhenUsed="1"/>
    <w:lsdException w:name="Placeholder Text" w:uiPriority="99" w:semiHidden="1"/>
    <w:lsdException w:name="Grid Table 5 Dark Accent 2" w:uiPriority="50"/>
    <w:lsdException w:name="heading 1" w:qFormat="1"/>
    <w:lsdException w:name="Grid Table 6 Colorful Accent 6" w:uiPriority="51"/>
    <w:lsdException w:name="Medium Grid 3 Accent 2" w:uiPriority="69"/>
    <w:lsdException w:name="Medium Shading 2" w:uiPriority="64"/>
    <w:lsdException w:name="Table Professional" w:semiHidden="1" w:unhideWhenUsed="1"/>
    <w:lsdException w:name="HTML Variable" w:uiPriority="99"/>
    <w:lsdException w:name="Medium Shading 1 Accent 4" w:uiPriority="63"/>
    <w:lsdException w:name="List Table 7 Colorful Accent 6" w:uiPriority="52"/>
    <w:lsdException w:name="Medium List 1 Accent 3" w:uiPriority="65"/>
    <w:lsdException w:name="Medium List 1 Accent 6" w:uiPriority="65"/>
    <w:lsdException w:name="List Table 5 Dark Accent 1" w:uiPriority="50"/>
    <w:lsdException w:name="Dark List Accent 3" w:uiPriority="70"/>
    <w:lsdException w:name="Colorful List Accent 1" w:uiPriority="72"/>
    <w:lsdException w:name="List Table 3 Accent 3" w:uiPriority="48"/>
    <w:lsdException w:name="Medium Grid 3 Accent 5" w:uiPriority="69"/>
    <w:lsdException w:name="Medium Grid 1 Accent 5" w:uiPriority="67"/>
    <w:lsdException w:name="Hashtag" w:uiPriority="99" w:semiHidden="1" w:unhideWhenUsed="1"/>
    <w:lsdException w:name="Colorful Shading Accent 6" w:uiPriority="71"/>
    <w:lsdException w:name="Medium List 1 Accent 4" w:uiPriority="65"/>
    <w:lsdException w:name="Table Classic 2" w:semiHidden="1" w:unhideWhenUsed="1"/>
    <w:lsdException w:name="Medium Grid 2 Accent 1" w:uiPriority="68"/>
    <w:lsdException w:name="Strong" w:qFormat="1"/>
    <w:lsdException w:name="Grid Table 2 Accent 5" w:uiPriority="47"/>
    <w:lsdException w:name="toc 5" w:uiPriority="99"/>
    <w:lsdException w:name="Medium Shading 1 Accent 6" w:uiPriority="63"/>
    <w:lsdException w:name="Medium List 1 Accent 5" w:uiPriority="65"/>
    <w:lsdException w:name="List Table 6 Colorful Accent 1" w:uiPriority="51"/>
    <w:lsdException w:name="Emphasis" w:qFormat="1"/>
    <w:lsdException w:name="Light List Accent 6" w:uiPriority="61"/>
    <w:lsdException w:name="Medium Grid 2 Accent 3" w:uiPriority="68"/>
    <w:lsdException w:name="heading 7" w:unhideWhenUsed="1" w:qFormat="1"/>
    <w:lsdException w:name="Table Subtle 2" w:semiHidden="1" w:unhideWhenUsed="1"/>
    <w:lsdException w:name="Medium Shading 1" w:uiPriority="63"/>
    <w:lsdException w:name="Grid Table 7 Colorful Accent 6" w:uiPriority="52"/>
    <w:lsdException w:name="Table List 5" w:semiHidden="1" w:unhideWhenUsed="1"/>
    <w:lsdException w:name="HTML Definition" w:uiPriority="99"/>
    <w:lsdException w:name="Table Simple 1" w:semiHidden="1" w:unhideWhenUsed="1"/>
    <w:lsdException w:name="Light Shading Accent 4" w:uiPriority="60"/>
    <w:lsdException w:name="Table Classic 3" w:semiHidden="1" w:unhideWhenUsed="1"/>
    <w:lsdException w:name="Light Grid Accent 5" w:uiPriority="62"/>
    <w:lsdException w:name="List Table 7 Colorful Accent 4" w:uiPriority="52"/>
    <w:lsdException w:name="List Table 3 Accent 5" w:uiPriority="48"/>
    <w:lsdException w:name="Table Grid 4" w:semiHidden="1" w:unhideWhenUsed="1"/>
    <w:lsdException w:name="Medium Grid 2 Accent 5" w:uiPriority="68"/>
    <w:lsdException w:name="Light List Accent 3" w:uiPriority="61"/>
    <w:lsdException w:name="Colorful List Accent 2" w:uiPriority="72"/>
    <w:lsdException w:name="Colorful Shading" w:uiPriority="71"/>
    <w:lsdException w:name="Light Grid Accent 2" w:uiPriority="62"/>
    <w:lsdException w:name="HTML Sample" w:uiPriority="99"/>
    <w:lsdException w:name="Medium List 1 Accent 2" w:uiPriority="65"/>
    <w:lsdException w:name="Light Shading Accent 1" w:uiPriority="60"/>
    <w:lsdException w:name="Light List" w:uiPriority="61"/>
    <w:lsdException w:name="Dark List Accent 5" w:uiPriority="70"/>
    <w:lsdException w:name="Plain Table 5" w:uiPriority="45"/>
    <w:lsdException w:name="Table List 6" w:semiHidden="1" w:unhideWhenUsed="1"/>
    <w:lsdException w:name="Grid Table 2 Accent 3" w:uiPriority="47"/>
    <w:lsdException w:name="Table List 1" w:semiHidden="1" w:unhideWhenUsed="1"/>
    <w:lsdException w:name="List Table 5 Dark Accent 5" w:uiPriority="50"/>
    <w:lsdException w:name="HTML Acronym" w:uiPriority="99"/>
    <w:lsdException w:name="Table Columns 5" w:semiHidden="1" w:unhideWhenUsed="1"/>
    <w:lsdException w:name="Table List 4" w:semiHidden="1" w:unhideWhenUsed="1"/>
    <w:lsdException w:name="Grid Table 3 Accent 2" w:uiPriority="48"/>
    <w:lsdException w:name="HTML Typewriter" w:uiPriority="99"/>
    <w:lsdException w:name="heading 3" w:qFormat="1"/>
    <w:lsdException w:name="Medium Grid 3 Accent 1" w:uiPriority="69"/>
    <w:lsdException w:name="Grid Table 4 Accent 4" w:uiPriority="49"/>
    <w:lsdException w:name="Intense Quote" w:uiPriority="99"/>
    <w:lsdException w:name="List Table 6 Colorful Accent 2" w:uiPriority="51"/>
    <w:lsdException w:name="Table Subtle 1" w:semiHidden="1" w:unhideWhenUsed="1"/>
    <w:lsdException w:name="Medium Shading 2 Accent 6" w:uiPriority="64"/>
    <w:lsdException w:name="Colorful List" w:uiPriority="72"/>
    <w:lsdException w:name="List Table 3 Accent 2" w:uiPriority="48"/>
    <w:lsdException w:name="Table List 2" w:semiHidden="1" w:unhideWhenUsed="1"/>
    <w:lsdException w:name="Book Title" w:uiPriority="33" w:qFormat="1"/>
    <w:lsdException w:name="List Table 4 Accent 5" w:uiPriority="49"/>
    <w:lsdException w:name="Grid Table 1 Light Accent 6" w:uiPriority="46"/>
    <w:lsdException w:name="Colorful List Accent 5" w:uiPriority="72"/>
    <w:lsdException w:name="Grid Table 5 Dark Accent 1" w:uiPriority="50"/>
    <w:lsdException w:name="Grid Table 3 Accent 6" w:uiPriority="48"/>
    <w:lsdException w:name="List Table 1 Light Accent 1" w:uiPriority="46"/>
    <w:lsdException w:name="Grid Table 2 Accent 1" w:uiPriority="47"/>
    <w:lsdException w:name="Quote" w:uiPriority="99"/>
    <w:lsdException w:name="Light List Accent 2" w:uiPriority="61"/>
    <w:lsdException w:name="Colorful Grid Accent 4" w:uiPriority="73"/>
    <w:lsdException w:name="HTML Preformatted" w:uiPriority="99"/>
    <w:lsdException w:name="List Table 2 Accent 2" w:uiPriority="47"/>
    <w:lsdException w:name="Medium Shading 1 Accent 3" w:uiPriority="63"/>
    <w:lsdException w:name="heading 2" w:qFormat="1"/>
    <w:lsdException w:name="Medium List 2 Accent 6" w:uiPriority="66"/>
    <w:lsdException w:name="Medium Grid 2 Accent 2" w:uiPriority="68"/>
    <w:lsdException w:name="Medium Grid 1 Accent 4" w:uiPriority="67"/>
    <w:lsdException w:name="Grid Table 4" w:uiPriority="49"/>
    <w:lsdException w:name="Light Shading Accent 5" w:uiPriority="60"/>
    <w:lsdException w:name="Table Web 3" w:semiHidden="1" w:unhideWhenUsed="1"/>
    <w:lsdException w:name="Grid Table 3 Accent 4" w:uiPriority="48"/>
    <w:lsdException w:name="Medium List 2 Accent 3" w:uiPriority="66"/>
    <w:lsdException w:name="Table 3D effects 2" w:semiHidden="1" w:unhideWhenUsed="1"/>
    <w:lsdException w:name="List Paragraph" w:uiPriority="99"/>
    <w:lsdException w:name="Grid Table 1 Light Accent 2" w:uiPriority="46"/>
    <w:lsdException w:name="Table Grid 1" w:semiHidden="1" w:unhideWhenUsed="1"/>
    <w:lsdException w:name="Grid Table 5 Dark" w:uiPriority="50"/>
    <w:lsdException w:name="heading 5" w:qFormat="1"/>
    <w:lsdException w:name="Table Contemporary" w:semiHidden="1" w:unhideWhenUsed="1"/>
    <w:lsdException w:name="Table Columns 3" w:semiHidden="1" w:unhideWhenUsed="1"/>
    <w:lsdException w:name="toc 7" w:uiPriority="99"/>
    <w:lsdException w:name="Light List Accent 5" w:uiPriority="61"/>
    <w:lsdException w:name="Grid Table 1 Light Accent 5" w:uiPriority="46"/>
    <w:lsdException w:name="Light Grid Accent 6" w:uiPriority="62"/>
    <w:lsdException w:name="List Table 5 Dark Accent 6" w:uiPriority="50"/>
    <w:lsdException w:name="List Table 4 Accent 3" w:uiPriority="49"/>
    <w:lsdException w:name="Title" w:qFormat="1"/>
    <w:lsdException w:name="Grid Table 3 Accent 1" w:uiPriority="48"/>
    <w:lsdException w:name="Medium Grid 3 Accent 6" w:uiPriority="69"/>
    <w:lsdException w:name="Dark List Accent 4" w:uiPriority="70"/>
    <w:lsdException w:name="List Table 4 Accent 2" w:uiPriority="49"/>
    <w:lsdException w:name="Medium Grid 3" w:uiPriority="69"/>
    <w:lsdException w:name="toc 8" w:uiPriority="99"/>
    <w:lsdException w:name="Table Grid 6" w:semiHidden="1" w:unhideWhenUsed="1"/>
    <w:lsdException w:name="Medium Grid 2" w:uiPriority="68"/>
    <w:lsdException w:name="Colorful List Accent 6" w:uiPriority="72"/>
    <w:lsdException w:name="TOC Heading" w:uiPriority="39" w:semiHidden="1" w:unhideWhenUsed="1" w:qFormat="1"/>
    <w:lsdException w:name="Colorful Grid" w:uiPriority="73"/>
    <w:lsdException w:name="Table Simple 2" w:semiHidden="1" w:unhideWhenUsed="1"/>
    <w:lsdException w:name="Subtle Emphasis" w:uiPriority="19" w:qFormat="1"/>
    <w:lsdException w:name="Medium Grid 3 Accent 4" w:uiPriority="69"/>
    <w:lsdException w:name="Grid Table 7 Colorful Accent 1" w:uiPriority="52"/>
    <w:lsdException w:name="Revision" w:uiPriority="99" w:semiHidden="1"/>
    <w:lsdException w:name="Table Classic 1" w:semiHidden="1" w:unhideWhenUsed="1"/>
    <w:lsdException w:name="toc 6" w:uiPriority="99"/>
    <w:lsdException w:name="Table Classic 4" w:semiHidden="1" w:unhideWhenUsed="1"/>
    <w:lsdException w:name="Table Theme" w:semiHidden="1" w:unhideWhenUsed="1"/>
    <w:lsdException w:name="List Table 3" w:uiPriority="48"/>
    <w:lsdException w:name="Grid Table 4 Accent 5" w:uiPriority="49"/>
    <w:lsdException w:name="toc 4" w:uiPriority="99"/>
    <w:lsdException w:name="List Table 7 Colorful Accent 3" w:uiPriority="52"/>
    <w:lsdException w:name="Table Elegant" w:semiHidden="1" w:unhideWhenUsed="1"/>
    <w:lsdException w:name="Grid Table 6 Colorful Accent 4" w:uiPriority="51"/>
    <w:lsdException w:name="Medium Shading 1 Accent 2" w:uiPriority="63"/>
    <w:lsdException w:name="Grid Table 7 Colorful Accent 5" w:uiPriority="52"/>
    <w:lsdException w:name="footnote text" w:uiPriority="99" w:semiHidden="1" w:unhideWhenUsed="1"/>
    <w:lsdException w:name="Grid Table 6 Colorful Accent 2" w:uiPriority="51"/>
    <w:lsdException w:name="Smart Link" w:uiPriority="99" w:semiHidden="1" w:unhideWhenUsed="1"/>
    <w:lsdException w:name="Plain Table 4" w:uiPriority="44"/>
    <w:lsdException w:name="Colorful List Accent 4" w:uiPriority="72"/>
    <w:lsdException w:name="Grid Table 1 Light" w:uiPriority="46"/>
    <w:lsdException w:name="List Table 7 Colorful Accent 1" w:uiPriority="52"/>
    <w:lsdException w:name="Grid Table 6 Colorful Accent 1" w:uiPriority="51"/>
    <w:lsdException w:name="footnote reference" w:uiPriority="99" w:semiHidden="1" w:unhideWhenUsed="1"/>
    <w:lsdException w:name="List Table 4 Accent 4" w:uiPriority="49"/>
    <w:lsdException w:name="Table Grid 2" w:semiHidden="1" w:unhideWhenUsed="1"/>
    <w:lsdException w:name="Grid Table 7 Colorful" w:uiPriority="52"/>
    <w:lsdException w:name="Light Grid Accent 1" w:uiPriority="62"/>
    <w:lsdException w:name="Table 3D effects 3" w:semiHidden="1" w:unhideWhenUsed="1"/>
    <w:lsdException w:name="heading 8" w:unhideWhenUsed="1" w:qFormat="1"/>
    <w:lsdException w:name="List Table 6 Colorful Accent 5" w:uiPriority="51"/>
    <w:lsdException w:name="Grid Table 1 Light Accent 4" w:uiPriority="46"/>
    <w:lsdException w:name="Colorful Shading Accent 5" w:uiPriority="71"/>
    <w:lsdException w:name="Grid Table 7 Colorful Accent 3" w:uiPriority="52"/>
    <w:lsdException w:name="List Table 4" w:uiPriority="49"/>
    <w:lsdException w:name="List Table 2" w:uiPriority="47"/>
    <w:lsdException w:name="Colorful Grid Accent 3" w:uiPriority="73"/>
    <w:lsdException w:name="HTML Cite" w:uiPriority="99"/>
    <w:lsdException w:name="Outline List 1" w:uiPriority="99" w:semiHidden="1" w:unhideWhenUsed="1"/>
    <w:lsdException w:name="Medium Grid 1 Accent 2" w:uiPriority="67"/>
    <w:lsdException w:name="Light Shading Accent 6" w:uiPriority="60"/>
    <w:lsdException w:name="Grid Table 6 Colorful" w:uiPriority="51"/>
    <w:lsdException w:name="Table List 3" w:semiHidden="1" w:unhideWhenUsed="1"/>
    <w:lsdException w:name="toc 3" w:uiPriority="99"/>
    <w:lsdException w:name="List Table 2 Accent 4" w:uiPriority="47"/>
    <w:lsdException w:name="Grid Table 2 Accent 6" w:uiPriority="47"/>
    <w:lsdException w:name="Light Grid Accent 3" w:uiPriority="62"/>
    <w:lsdException w:name="List Table 6 Colorful Accent 3" w:uiPriority="51"/>
    <w:lsdException w:name="Medium Grid 3 Accent 3" w:uiPriority="69"/>
    <w:lsdException w:name="HTML Bottom of Form" w:uiPriority="99" w:semiHidden="1" w:unhideWhenUsed="1"/>
    <w:lsdException w:name="Intense Emphasis" w:uiPriority="21" w:qFormat="1"/>
    <w:lsdException w:name="List Table 7 Colorful" w:uiPriority="52"/>
    <w:lsdException w:name="Normal" w:qFormat="1"/>
    <w:lsdException w:name="Medium List 2 Accent 5" w:uiPriority="66"/>
    <w:lsdException w:name="Medium Shading 2 Accent 1" w:uiPriority="64"/>
    <w:lsdException w:name="Dark List Accent 2" w:uiPriority="70"/>
    <w:lsdException w:name="List Table 1 Light Accent 4" w:uiPriority="46"/>
    <w:lsdException w:name="List Table 5 Dark" w:uiPriority="50"/>
    <w:lsdException w:name="Table List 8" w:semiHidden="1" w:unhideWhenUsed="1"/>
    <w:lsdException w:name="List Table 5 Dark Accent 4" w:uiPriority="50"/>
    <w:lsdException w:name="Light Shading Accent 2" w:uiPriority="60"/>
    <w:lsdException w:name="List Table 7 Colorful Accent 5" w:uiPriority="52"/>
    <w:lsdException w:name="Medium Shading 2 Accent 5" w:uiPriority="64"/>
    <w:lsdException w:name="Light List Accent 1" w:uiPriority="61"/>
    <w:lsdException w:name="Grid Table 6 Colorful Accent 5" w:uiPriority="51"/>
    <w:lsdException w:name="Outline List 2" w:uiPriority="99" w:semiHidden="1" w:unhideWhenUsed="1"/>
    <w:lsdException w:name="Table Columns 4" w:semiHidden="1" w:unhideWhenUsed="1"/>
    <w:lsdException w:name="Medium Grid 2 Accent 6" w:uiPriority="68"/>
    <w:lsdException w:name="Grid Table 4 Accent 6" w:uiPriority="49"/>
    <w:lsdException w:name="Grid Table 6 Colorful Accent 3" w:uiPriority="51"/>
    <w:lsdException w:name="heading 4" w:qFormat="1"/>
    <w:lsdException w:name="List Table 1 Light Accent 5" w:uiPriority="46"/>
    <w:lsdException w:name="Medium Shading 1 Accent 5" w:uiPriority="63"/>
    <w:lsdException w:name="Grid Table 3 Accent 5" w:uiPriority="48"/>
    <w:lsdException w:name="HTML Address" w:uiPriority="99"/>
    <w:lsdException w:name="No Spacing" w:uiPriority="99"/>
    <w:lsdException w:name="Table Grid 5" w:semiHidden="1" w:unhideWhenUsed="1"/>
    <w:lsdException w:name="Table Columns 1" w:semiHidden="1" w:unhideWhenUsed="1"/>
    <w:lsdException w:name="toc 2" w:uiPriority="99"/>
    <w:lsdException w:name="Medium List 2" w:uiPriority="66"/>
    <w:lsdException w:name="Medium List 1" w:uiPriority="65"/>
    <w:lsdException w:name="Table Simple 3" w:semiHidden="1" w:unhideWhenUsed="1"/>
    <w:lsdException w:name="toc 9" w:uiPriority="99"/>
    <w:lsdException w:name="Medium Shading 2 Accent 2" w:uiPriority="64"/>
    <w:lsdException w:name="Dark List" w:uiPriority="70"/>
    <w:lsdException w:name="Table List 7" w:semiHidden="1" w:unhideWhenUsed="1"/>
    <w:lsdException w:name="List Table 3 Accent 6" w:uiPriority="48"/>
    <w:lsdException w:name="Table Colorful 3" w:semiHidden="1" w:unhideWhenUsed="1"/>
    <w:lsdException w:name="Colorful Shading Accent 2" w:uiPriority="71"/>
    <w:lsdException w:name="Colorful Shading Accent 4" w:uiPriority="71"/>
    <w:lsdException w:name="Colorful Shading Accent 3" w:uiPriority="71"/>
    <w:lsdException w:name="HTML Top of Form" w:uiPriority="99" w:semiHidden="1" w:unhideWhenUsed="1"/>
    <w:lsdException w:name="Grid Table 4 Accent 3" w:uiPriority="49"/>
    <w:lsdException w:name="Subtitle" w:qFormat="1"/>
    <w:lsdException w:name="List Table 5 Dark Accent 3" w:uiPriority="50"/>
    <w:lsdException w:name="Plain Table 3" w:uiPriority="43"/>
    <w:lsdException w:name="Plain Table 2" w:uiPriority="42"/>
    <w:lsdException w:name="Normal Table" w:uiPriority="99" w:semiHidden="1" w:unhideWhenUsed="1"/>
    <w:lsdException w:name="Colorful Grid Accent 1" w:uiPriority="73"/>
    <w:lsdException w:name="Grid Table 7 Colorful Accent 4" w:uiPriority="52"/>
    <w:lsdException w:name="List Table 2 Accent 1" w:uiPriority="47"/>
    <w:lsdException w:name="Plain Table 1" w:uiPriority="41"/>
    <w:lsdException w:name="Colorful Grid Accent 6" w:uiPriority="73"/>
    <w:lsdException w:name="Table Colorful 1" w:semiHidden="1" w:unhideWhenUsed="1"/>
    <w:lsdException w:name="caption" w:semiHidden="1" w:unhideWhenUsed="1" w:qFormat="1"/>
    <w:lsdException w:name="Medium List 2 Accent 1" w:uiPriority="66"/>
    <w:lsdException w:name="List Table 2 Accent 6" w:uiPriority="47"/>
    <w:lsdException w:name="Grid Table 4 Accent 1" w:uiPriority="49"/>
    <w:lsdException w:name="List Table 7 Colorful Accent 2" w:uiPriority="52"/>
  </w:latentStyles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character" w:styleId="00000b" w:default="1">
    <w:name w:val="Default Paragraph Font"/>
    <w:uiPriority w:val="1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8" Type="http://schemas.openxmlformats.org/officeDocument/2006/relationships/image" Target="media/image4.png" /><Relationship Id="rId4" Type="http://schemas.openxmlformats.org/officeDocument/2006/relationships/numbering" Target="numbering.xml" /><Relationship Id="rId5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2026-04-13T16:34:43Z</dcterms:created>
  <dcterms:modified xsi:type="dcterms:W3CDTF">2026-04-13T16:34:43Z</dcterms:modified>
</cp:coreProperties>
</file>