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プログラミング演習 課題6</w:t>
      </w:r>
    </w:p>
    <w:p>
      <w:pPr>
        <w:pStyle w:val="Heading1"/>
        <w:spacing w:after="400"/>
      </w:pPr>
      <w:r>
        <w:t xml:space="preserve">詳細設計モデル</w:t>
      </w:r>
    </w:p>
    <w:p>
      <w:pPr>
        <w:spacing w:after="120"/>
      </w:pPr>
      <w:r>
        <w:t xml:space="preserve">対象システム: シューティングゲーム</w:t>
      </w:r>
    </w:p>
    <w:p>
      <w:pPr>
        <w:spacing w:after="120"/>
      </w:pPr>
      <w:r>
        <w:t xml:space="preserve">使用プログラミング言語: Python</w:t>
      </w:r>
    </w:p>
    <w:p>
      <w:pPr>
        <w:spacing w:after="120"/>
      </w:pPr>
      <w:r>
        <w:t xml:space="preserve">GUI・描画の実現手段: pygame（pygame.Surface, pygame.Rect 等の言語提供クラスを利用）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設計モデルのクラス図</w:t>
      </w:r>
    </w:p>
    <w:p>
      <w:pPr>
        <w:spacing w:after="120"/>
      </w:pPr>
      <w:r>
        <w:t xml:space="preserve">分析モデルのクラス図（属性名・操作名のみ）に対して、以下の観点で詳細化を行った。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属性・操作にすべて可視性（+: public, -: private）と型情報を明示した。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+ pygame を実現手段として採用し、pygame.Rect（位置・当たり判定）、pygame.Surface（描画）を言語提供クラスとしてクラス図に含めた。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分析モデルでは双方向・未定義だった関連について、boundary→control→entity の呼び出し方向に沿って依存（点線矢印）または一方向の関連（実線矢印）に直した。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関連には多重度を明記し、関連端名（役割名）は次ページの対応表にまとめた（mermaid.js の記法制約により図中には片側ラベルのみ表示）。</w:t>
      </w:r>
    </w:p>
    <w:p>
      <w:pPr>
        <w:spacing w:after="80"/>
        <w:jc w:val="center"/>
      </w:pPr>
      <w:r>
        <w:drawing>
          <wp:inline distT="0" distB="0" distL="0" distR="0">
            <wp:extent cx="5905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図1 設計モデルのクラス図</w:t>
      </w:r>
    </w:p>
    <w:p>
      <w:r>
        <w:br w:type="page"/>
      </w:r>
    </w:p>
    <w:p>
      <w:pPr>
        <w:pStyle w:val="Heading2"/>
        <w:spacing w:after="120" w:before="240"/>
      </w:pPr>
      <w:r>
        <w:t xml:space="preserve">1.1 関連端名（役割名）対応表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0"/>
                <w:szCs w:val="20"/>
              </w:rPr>
              <w:t xml:space="preserve">送信側クラス</w:t>
            </w:r>
          </w:p>
        </w:tc>
        <w:tc>
          <w:tcPr>
            <w:tcW w:type="pct" w:w="2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0"/>
                <w:szCs w:val="20"/>
              </w:rPr>
              <w:t xml:space="preserve">受信側クラス</w:t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0"/>
                <w:szCs w:val="20"/>
              </w:rPr>
              <w:t xml:space="preserve">多重度(送信側:受信側)</w:t>
            </w:r>
          </w:p>
        </w:tc>
        <w:tc>
          <w:tcPr>
            <w:tcW w:type="pct" w:w="19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0"/>
                <w:szCs w:val="20"/>
              </w:rPr>
              <w:t xml:space="preserve">関連端名(受信側から見た送信側の役割)</w:t>
            </w:r>
          </w:p>
        </w:tc>
        <w:tc>
          <w:tcPr>
            <w:tcW w:type="pct" w:w="19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0"/>
                <w:szCs w:val="20"/>
              </w:rPr>
              <w:t xml:space="preserve">関連端名(送信側から見た受信側の役割)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NameInputScreen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NameInputControl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入力依頼先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入力受付元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NameInputControl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保存対象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保存先管理者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NameInputControl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GameStartControl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開始依頼先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開始依頼元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HighScoreControl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表示依頼先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表示依頼元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GameStartControl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MovementControl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移動依頼先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移動依頼元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発射依頼先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発射依頼元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GameOverScreen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MovementControl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PlayerCharacter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操作対象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被操作者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0..*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生成物・管理対象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生成元・管理者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加算対象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加算依頼元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Enemy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0..* : 0..*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衝突判定相手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衝突判定相手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GameOverScreen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リトライ依頼先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リトライ依頼元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HighScoreScreen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TitleReturnControl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復帰依頼先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復帰依頼元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TitleReturnControl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HighScoreControl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HighScoreScreen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遷移元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HighScoreControl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参照対象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参照元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PlayerCharacter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pygame.Rect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位置情報保持先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位置提供元(言語提供クラス)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pygame.Rect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位置情報保持先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位置提供元(言語提供クラス)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Enemy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pygame.Rect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位置情報保持先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位置提供元(言語提供クラス)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pygame.Surface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描画対象(言語提供クラス)</w:t>
            </w:r>
          </w:p>
        </w:tc>
      </w:tr>
      <w:tr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GameScreen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pygame.Surface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描画先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描画対象(言語提供クラス)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シーケンス図</w:t>
      </w:r>
    </w:p>
    <w:p>
      <w:pPr>
        <w:spacing w:after="120"/>
      </w:pPr>
      <w:r>
        <w:t xml:space="preserve">各ユースケースについて、コミュニケーション図（分析モデル）で検討した振る舞いをもとに、具体的な引数・戻り値を明記したシーケンス図を作成した。</w:t>
      </w:r>
    </w:p>
    <w:p>
      <w:pPr>
        <w:pStyle w:val="Heading2"/>
        <w:spacing w:after="120" w:before="240"/>
      </w:pPr>
      <w:r>
        <w:t xml:space="preserve">① プレイヤー名を入力する</w:t>
      </w:r>
    </w:p>
    <w:p>
      <w:pPr>
        <w:spacing w:after="120"/>
      </w:pPr>
      <w:r>
        <w:t xml:space="preserve">基本フロー1〜5、および代替フロー4a(文字数制限超過時のエラー表示)に対応。</w:t>
      </w:r>
    </w:p>
    <w:p>
      <w:pPr>
        <w:spacing w:after="8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① プレイヤー名を入力する</w:t>
      </w:r>
    </w:p>
    <w:p>
      <w:pPr>
        <w:pStyle w:val="Heading2"/>
        <w:spacing w:after="120" w:before="240"/>
      </w:pPr>
      <w:r>
        <w:t xml:space="preserve">② ゲームスタートする</w:t>
      </w:r>
    </w:p>
    <w:p>
      <w:pPr>
        <w:spacing w:after="120"/>
      </w:pPr>
      <w:r>
        <w:t xml:space="preserve">基本フロー1〜2に対応。代替フローなし。</w:t>
      </w:r>
    </w:p>
    <w:p>
      <w:pPr>
        <w:spacing w:after="8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② ゲームスタートする</w:t>
      </w:r>
    </w:p>
    <w:p>
      <w:pPr>
        <w:pStyle w:val="Heading2"/>
        <w:spacing w:after="120" w:before="240"/>
      </w:pPr>
      <w:r>
        <w:t xml:space="preserve">③ 右に移動する</w:t>
      </w:r>
    </w:p>
    <w:p>
      <w:pPr>
        <w:spacing w:after="120"/>
      </w:pPr>
      <w:r>
        <w:t xml:space="preserve">基本フロー1〜2、および代替フロー1a(右端にいる場合は移動しない)に対応。</w:t>
      </w:r>
    </w:p>
    <w:p>
      <w:pPr>
        <w:spacing w:after="8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③ 右に移動する</w:t>
      </w:r>
    </w:p>
    <w:p>
      <w:pPr>
        <w:pStyle w:val="Heading2"/>
        <w:spacing w:after="120" w:before="240"/>
      </w:pPr>
      <w:r>
        <w:t xml:space="preserve">④ 左に移動する</w:t>
      </w:r>
    </w:p>
    <w:p>
      <w:pPr>
        <w:spacing w:after="120"/>
      </w:pPr>
      <w:r>
        <w:t xml:space="preserve">基本フロー1〜2、および代替フロー1a(左端にいる場合は移動しない)に対応。</w:t>
      </w:r>
    </w:p>
    <w:p>
      <w:pPr>
        <w:spacing w:after="8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④ 左に移動する</w:t>
      </w:r>
    </w:p>
    <w:p>
      <w:pPr>
        <w:pStyle w:val="Heading2"/>
        <w:spacing w:after="120" w:before="240"/>
      </w:pPr>
      <w:r>
        <w:t xml:space="preserve">⑤ 弾を発射する</w:t>
      </w:r>
    </w:p>
    <w:p>
      <w:pPr>
        <w:spacing w:after="120"/>
      </w:pPr>
      <w:r>
        <w:t xml:space="preserve">基本フロー1〜4、および代替フロー3a(弾が敵に当たった場合)に対応。</w:t>
      </w:r>
    </w:p>
    <w:p>
      <w:pPr>
        <w:spacing w:after="80"/>
        <w:jc w:val="center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⑤ 弾を発射する</w:t>
      </w:r>
    </w:p>
    <w:p>
      <w:pPr>
        <w:pStyle w:val="Heading2"/>
        <w:spacing w:after="120" w:before="240"/>
      </w:pPr>
      <w:r>
        <w:t xml:space="preserve">⑥ リトライする</w:t>
      </w:r>
    </w:p>
    <w:p>
      <w:pPr>
        <w:spacing w:after="120"/>
      </w:pPr>
      <w:r>
        <w:t xml:space="preserve">基本フロー1〜2に対応。代替フローなし。</w:t>
      </w:r>
    </w:p>
    <w:p>
      <w:pPr>
        <w:spacing w:after="8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⑥ リトライする</w:t>
      </w:r>
    </w:p>
    <w:p>
      <w:pPr>
        <w:pStyle w:val="Heading2"/>
        <w:spacing w:after="120" w:before="240"/>
      </w:pPr>
      <w:r>
        <w:t xml:space="preserve">⑦ ハイスコアを表示する</w:t>
      </w:r>
    </w:p>
    <w:p>
      <w:pPr>
        <w:spacing w:after="120"/>
      </w:pPr>
      <w:r>
        <w:t xml:space="preserve">基本フロー1〜2に対応。代替フローなし。</w:t>
      </w:r>
    </w:p>
    <w:p>
      <w:pPr>
        <w:spacing w:after="8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⑦ ハイスコアを表示する</w:t>
      </w:r>
    </w:p>
    <w:p>
      <w:pPr>
        <w:pStyle w:val="Heading2"/>
        <w:spacing w:after="120" w:before="240"/>
      </w:pPr>
      <w:r>
        <w:t xml:space="preserve">⑧ タイトル画面に戻る</w:t>
      </w:r>
    </w:p>
    <w:p>
      <w:pPr>
        <w:spacing w:after="120"/>
      </w:pPr>
      <w:r>
        <w:t xml:space="preserve">基本フロー1〜2に対応。代替フローなし。</w:t>
      </w:r>
    </w:p>
    <w:p>
      <w:pPr>
        <w:spacing w:after="8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図: ⑧ タイトル画面に戻る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d147c1724e669f7c8124d941c55bf484b1775b.png"/><Relationship Id="rId8" Type="http://schemas.openxmlformats.org/officeDocument/2006/relationships/image" Target="media/60bb29f902ebef80119f1d085995d7952b0a4b7e.png"/><Relationship Id="rId9" Type="http://schemas.openxmlformats.org/officeDocument/2006/relationships/image" Target="media/35e7b004370169ff3994ffd1e78c1d91eaed908e.png"/><Relationship Id="rId10" Type="http://schemas.openxmlformats.org/officeDocument/2006/relationships/image" Target="media/3db38892abbf138dafee2ddef62329fd46dcce6f.png"/><Relationship Id="rId11" Type="http://schemas.openxmlformats.org/officeDocument/2006/relationships/image" Target="media/577fafb1649e6c2328460e84635842baa57f14c5.png"/><Relationship Id="rId12" Type="http://schemas.openxmlformats.org/officeDocument/2006/relationships/image" Target="media/73ed46874b9b082b74904560c6419d7e8d5d715d.png"/><Relationship Id="rId13" Type="http://schemas.openxmlformats.org/officeDocument/2006/relationships/image" Target="media/0dbec9311658a8ae5455cf73b98e84c8f4cebcb7.png"/><Relationship Id="rId14" Type="http://schemas.openxmlformats.org/officeDocument/2006/relationships/image" Target="media/901d8b318c9cb82584e33ff1a4384b4f8043377d.png"/><Relationship Id="rId15" Type="http://schemas.openxmlformats.org/officeDocument/2006/relationships/image" Target="media/55b44102a2e834bbe13b40b63f23c33afadea90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2026-07-23T19:52:49.509Z</dcterms:created>
  <dcterms:modified xsi:type="dcterms:W3CDTF">2026-07-23T19:52:49.510Z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