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80768"/>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8076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as a heatmap.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4352029"/>
            <wp:docPr id="4" name="Picture 4"/>
            <wp:cNvGraphicFramePr>
              <a:graphicFrameLocks noChangeAspect="1"/>
            </wp:cNvGraphicFramePr>
            <a:graphic>
              <a:graphicData uri="http://schemas.openxmlformats.org/drawingml/2006/picture">
                <pic:pic>
                  <pic:nvPicPr>
                    <pic:cNvPr id="0" name="fig4_single_omics_heatmap.png"/>
                    <pic:cNvPicPr/>
                  </pic:nvPicPr>
                  <pic:blipFill>
                    <a:blip r:embed="rId13"/>
                    <a:stretch>
                      <a:fillRect/>
                    </a:stretch>
                  </pic:blipFill>
                  <pic:spPr>
                    <a:xfrm>
                      <a:off x="0" y="0"/>
                      <a:ext cx="5852160" cy="435202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Heatmaps show model performance for PAM50 Accuracy and Macro-F1 (A, B) and survival ROC AUC and C-index (C, D); rows are models and columns are omics (mRNA, CNV, miRNA). Values are 5-fold cross-validation means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compares each triple-omics fusion scheme with the best single-omics baseline;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867705"/>
            <wp:docPr id="5" name="Picture 5"/>
            <wp:cNvGraphicFramePr>
              <a:graphicFrameLocks noChangeAspect="1"/>
            </wp:cNvGraphicFramePr>
            <a:graphic>
              <a:graphicData uri="http://schemas.openxmlformats.org/drawingml/2006/picture">
                <pic:pic>
                  <pic:nvPicPr>
                    <pic:cNvPr id="0" name="fig5_triple_integration_dumbbell.png"/>
                    <pic:cNvPicPr/>
                  </pic:nvPicPr>
                  <pic:blipFill>
                    <a:blip r:embed="rId14"/>
                    <a:stretch>
                      <a:fillRect/>
                    </a:stretch>
                  </pic:blipFill>
                  <pic:spPr>
                    <a:xfrm>
                      <a:off x="0" y="0"/>
                      <a:ext cx="5852160" cy="386770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vs best single-omics. Each fusion scheme (colored point with SD) is linked to the best single-omics baseline on intersection samples (gray point).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对比了这些复杂方法与最优单组学基线的 PAM50 与生存结果。</w:t>
      </w:r>
    </w:p>
    <w:p>
      <w:pPr>
        <w:keepNext/>
        <w:spacing w:before="100" w:after="20"/>
        <w:jc w:val="center"/>
      </w:pPr>
      <w:r>
        <w:drawing>
          <wp:inline xmlns:a="http://schemas.openxmlformats.org/drawingml/2006/main" xmlns:pic="http://schemas.openxmlformats.org/drawingml/2006/picture">
            <wp:extent cx="5852160" cy="3893510"/>
            <wp:docPr id="6" name="Picture 6"/>
            <wp:cNvGraphicFramePr>
              <a:graphicFrameLocks noChangeAspect="1"/>
            </wp:cNvGraphicFramePr>
            <a:graphic>
              <a:graphicData uri="http://schemas.openxmlformats.org/drawingml/2006/picture">
                <pic:pic>
                  <pic:nvPicPr>
                    <pic:cNvPr id="0" name="fig6_advanced_methods_dumbbell.png"/>
                    <pic:cNvPicPr/>
                  </pic:nvPicPr>
                  <pic:blipFill>
                    <a:blip r:embed="rId15"/>
                    <a:stretch>
                      <a:fillRect/>
                    </a:stretch>
                  </pic:blipFill>
                  <pic:spPr>
                    <a:xfrm>
                      <a:off x="0" y="0"/>
                      <a:ext cx="5852160" cy="389351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vs best single-omics. Colored points (mean±SD) are Multi-task, DeepSurv, Transformer, low-rank bilinear fusion, and GNN, each linked to the best single-omics baseline (gray point). A and B: PAM50 Accuracy and Macro-F1; C and D: survival ROC AUC and C-index.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 Δ 热力图见图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4633675"/>
            <wp:docPr id="9" name="Picture 9"/>
            <wp:cNvGraphicFramePr>
              <a:graphicFrameLocks noChangeAspect="1"/>
            </wp:cNvGraphicFramePr>
            <a:graphic>
              <a:graphicData uri="http://schemas.openxmlformats.org/drawingml/2006/picture">
                <pic:pic>
                  <pic:nvPicPr>
                    <pic:cNvPr id="0" name="fig9_category_masking_heatmap.png"/>
                    <pic:cNvPicPr/>
                  </pic:nvPicPr>
                  <pic:blipFill>
                    <a:blip r:embed="rId18"/>
                    <a:stretch>
                      <a:fillRect/>
                    </a:stretch>
                  </pic:blipFill>
                  <pic:spPr>
                    <a:xfrm>
                      <a:off x="0" y="0"/>
                      <a:ext cx="5852160" cy="463367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Functional-category masking heatmap. Each cell is the performance change (Δ) after masking a category relative to the unmasked baseline for CNV PAM50, CNV survival, miRNA PAM50, and miRNA survival (red, decrease; blue, increase). 5-fold cross-validation SD is reported in Supplementary Table S17.</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