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t>Supervised distribution-divergence-guided omics imaging for interpretable multi-omics integration in breast cancer subtyping and survival-risk stratification</w:t>
        <w:br/>
      </w:r>
      <w:r>
        <w:t>a computational framework for candidate biomarker and target discovery</w:t>
      </w:r>
    </w:p>
    <w:p>
      <w:pPr>
        <w:spacing w:after="120" w:line="240" w:lineRule="auto"/>
        <w:ind w:firstLine="0"/>
        <w:jc w:val="center"/>
      </w:pPr>
      <w:r>
        <w:t>Running title: Supervised divergence-guided omics imaging</w:t>
      </w:r>
      <w:r>
        <w:rPr>
          <w:rFonts w:ascii="Times New Roman" w:hAnsi="Times New Roman" w:eastAsia="宋体" w:cs="Times New Roman"/>
          <w:b/>
          <w:color w:val="0B2545"/>
          <w:sz w:val="32"/>
        </w:rPr>
      </w:r>
    </w:p>
    <w:p>
      <w:pPr>
        <w:spacing w:after="160" w:line="240" w:lineRule="auto"/>
        <w:ind w:firstLine="0"/>
        <w:jc w:val="center"/>
      </w:pPr>
      <w:r/>
      <w:r>
        <w:rPr>
          <w:rFonts w:ascii="Times New Roman" w:hAnsi="Times New Roman" w:eastAsia="宋体" w:cs="Times New Roman"/>
          <w:color w:val="555555"/>
          <w:sz w:val="20"/>
        </w:rPr>
        <w:t>Original Research</w:t>
      </w:r>
    </w:p>
    <w:p>
      <w:pPr>
        <w:spacing w:after="160" w:line="240" w:lineRule="auto"/>
        <w:ind w:firstLine="0"/>
        <w:jc w:val="center"/>
      </w:pPr>
      <w:r>
        <w:t>Manuscript word count: 6,247 (main text); Figures: 5; Tables: 3</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Background: Breast cancer is highly heterogeneous, and a single molecular layer cannot robustly capture PAM50 subtypes or overall-survival risk. Multi-omics integration is theoretically complementary, yet is limited by high feature dimensionality, small sample sizes, heterogeneous scales, and the absence of natural two-dimensional adjacency among molecular features. Methods: We propose a supervised, distribution-divergence-guided omics spatial representation that scores the discriminative importance of each feature with the Jensen-Shannon divergence (JSD), arranges features by center-outward spiral filling into a single-channel grayscale image, and processes the image with a full-size convolutional network (FullSizeCNN). The representation is benchmarked against classical machine-learning models, an MLP, censoring-aware survival models (CoxPH, CoxNet, random survival forest), and multiple multi-omics fusion strategies using TCGA-BRCA mRNA, CNV, and miRNA, with leak-free five-fold cross-validation (feature selection and JSD ordering inside each fold) and external single-omics validation on METABRIC. Results: mRNA was the dominant signal for PAM50 subtype reconstruction (FullSizeCNN accuracy 0.869, LogisticRegression 0.822; CNV MLP 0.600; miRNA Dense 0.799). Death-status classifiers showed weak-to-moderate survival discrimination (C-index ~0.50-0.64), while censoring-aware models reached up to 0.656 (miRNA random survival forest). For PAM50, multi-omics fusion (CNN late-average accuracy 0.842) did not exceed the best intersection single-omics mRNA model (0.852); for survival, CNN late-average fusion reached ROC AUC 0.674. A dense-equivalent control indicated that the two-dimensional layout itself did not add predictive gain, and the principal value of imaging is interpretability. The pixel-to-gene coordinate system recovered candidate biomarkers ESR1, TFF1, AGR3, FOXC1, MIA, FABP7, CCL19, and MS4A1 with stable cross-fold attribution (the top-20 SHAP genes from the LogisticRegression explainer appeared in the top-100 importance ranking in all five folds), enriched targetable estrogen-signaling, proliferation, and epithelial-development programs, and connected ESR1/PGR with MYBL2/BIRC5/E2F8 through a consensus STRING network. Independent METABRIC validation confirmed the subtype-specific expression of these candidates, and CCL19 and PGR retained significant survival associations after adjustment. Conclusions: The supervised divergence-guided representation provides a traceable, interpretable coordinate system that connects multi-omics models to key genes and pathways, positioning omics imaging as an interpretability interface that supports candidate biomarker prioritization and candidate target nomination rather than a predictive shortcut.</w:t>
      </w:r>
    </w:p>
    <w:p>
      <w:pPr>
        <w:spacing w:after="160" w:line="240" w:lineRule="auto" w:before="0"/>
        <w:ind w:firstLine="0"/>
        <w:jc w:val="left"/>
      </w:pPr>
      <w:r>
        <w:t>Keywords: breast cancer; multi-omics; omics imaging; Jensen-Shannon divergence; PAM50; survival-risk stratification; biomarker discovery; adaptive reprogramming</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Tumor progression and therapeutic failure are also shaped by molecular stress responses and adaptive reprogramming, in which cancer cells co-opt oxidative, metabolic, proteotoxic, and replication-stress programs to survive therapy and thereby create candidate vulnerabilities (Hanahan and Weinberg, 2011; Luo et al., 2009).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candidate biomarker prioritization and candidate target nomination through the traceable gene-to-pixel attribution interface, and a Scheme 2 functional-category masking experiment with equal-size random-masking controls to assess the contribution of each functional module to PAM50 classification and survival-risk modeling. Finally, we include an exploratory pathway-level analysis of representative stress-adaptive marker-gene signatures (Hypoxia, ROS, OXPHOS, UPR, mTORC1, Glycolysis, EMT, and DNA repair) to examine whether image-based key factors map onto known cancer biological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pathway-enrichment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community reordering in Table S30, perturbation-fidelity evaluation in Table S31 and Figure S16, and METABRIC candidate-gene replication in Table S32.</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rebuilt from GDC Gene Level Copy Number files (ASCAT2, ASCAT3, and ABSOLUTE LiftOver), with integer copy number discretized to copy-number states (0→-2, 1→-1, 2→0, 3→+1, ≥4→+2; missing→0). This standard integer discretization showed 50.6% exact agreement (Cohen’s κ=0.257, Pearson r=0.565) with the Xena GISTIC2 thresholded calls on overlapping samples, reflecting that integer-copy-number discretization and GISTIC2 thresholding are related but not identical,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CoxNet, random survival forest,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Key hormone and proliferation genes are now assigned to their functional groups (e.g., ESR1/PGR to Hormone/Metabolism, E2F8/BIRC5 to Cell cycle/Proliferation, FOXC1/KRT to Development/Epithelium), and the annotation is provided as a multi-label GO:BP/Reactome table (mRNA_functional_category_annotation.tsv). The categories are intended as visualization-aided grouping rather than a strict biological module definition.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(Pölsterl, 2020),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single-omics survival models showed weak-to-moderate discrimination, ranging from near-chance for CNV (C-index down to ~0.50) to 0.656 for miRNA random survival forest.</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as a heatmap (fusion schemes × PAM50 Accuracy and Survival ROC AUC; PAM50 n=486, survival n=725). C: advanced integration methods as a heatmap (Transformer and DeepSurv × PAM50 Accuracy/Macro-F1 and Survival ROC AUC/C-index; DeepSurv has no PAM50 output). Heatmap colors are normalized per column, and cells show the 5-fold CV mean; SD is reported in Supplementary Tables S6 and S9.</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intersection single-omics mRNA RandomForest (0.8519±0.0285).</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numerically above the best single-omics model on the same intersection (miRNA RandomForest, 0.6634±0.0909); Concat MLP reached 0.6410±0.0504, while gated attention (0.6255±0.0399) and Concat LogisticRegression (0.6234±0.0382) were lower. The survival gain over the best single omics was small and not statistically significant (see the paired tests below).</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fusion and nine-model stacking were recomputed under the same leak-free five-fold cross-validation (feature selection, scaling, and JSD ordering inside each training fold), each on its own sample intersection. For PAM50, pairwise fusion was comparable to the best single omics: mRNA+CNV CNN late-average reached Accuracy 0.8667±0.0184 (n=825), mRNA+miRNA CNN late-average 0.8414±0.0537 (n=492), and CNV+miRNA Concat LogisticRegression 0.7879±0.0464 (n=486). For survival-risk modeling, pairwise CNN late-average reached ROC AUC 0.6608±0.0497 (CNV+miRNA, n=727) and 0.6342±0.0704 (mRNA+miRNA, n=732). Nine-model stacking reached PAM50 Accuracy 0.8518±0.0339 (Macro-F1 0.8218±0.0270) and survival ROC AUC 0.6683±0.0435 (C-index 0.6100±0.0561) on the triple-omics intersection. Paired tests on the same folds found no significant advantage of stacking over the best single omics or the simple triple-omics fusion (PAM50 stacking versus mRNA RandomForest p=0.995, versus CNN late-average p=0.090; survival stacking versus CNN late-average p=0.507, versus miRNA RandomForest p=0.931).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best intersection single-omics on the same folds and the same 486/725 patients are in Supplementary Table S10. The best single-omics model was selected as the highest mean metric among single-omics models on the same intersection (mRNA RandomForest for PAM50 Accuracy; miRNA RandomForest for Survival ROC AUC). For PAM50, CNN late-average fusion versus mRNA RandomForest had an Accuracy difference of -0.0104 (paired t p=0.6531, Wilcoxon p=0.6250), and Concat MLP versus mRNA RandomForest had a difference of -0.0166 (p=0.5412, Wilcoxon p=0.6250). For survival, CNN late-average fusion versus miRNA RandomForest had a ROC AUC difference of +0.0107 (paired t p=0.8519, Wilcoxon p=1.0000), and Concat MLP versus miRNA RandomForest had a difference of -0.0224 (p=0.6333, Wilcoxon p=0.8125). Thus no fusion strategy reached a statistically significant advantage over the best single-omics counterpart at the 0.05 threshold.</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The top-20 SHAP genes appeared in the top-100 importance ranking in all five folds (fold frequency 5/5), indicating stable cross-fold attribution; pathway enrichment indicated targetable estrogen signaling, proliferation, cell division, and epithelial development. These stable, traceable factors constitute candidate biomarkers and candidate targets to be validated.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 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These masking analyses use cohort-level pre-selected features and JSD ordering and are therefore exploratory; accordingly, the mRNA PAM50 baseline Accuracy reported here (0.9244) is higher than the leak-free full-sample estimate (0.8690). 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 2 masking workflow (B1 before masking, B2 functional category map, B3 after masking; B4 flow diagram). C: functional-category masking delta heatmap for mRNA, CNV, and miRNA (red, decrease; blue, increase). Masking analyses use cohort-level pre-selected features (exploratory);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(hub genes ESR1, PGR, MYBL2, BIRC5, E2F8 in red); B: mRNA co-expression of the top 40 genes, hierarchically clustered; C: top 20 miRNA-mRNA negative correlations; D: top 20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 From a candidate biomarker prioritization and candidate target nomination perspective, the stable, traceable factors (ESR1, PGR, FOXC1, MYBL2, BIRC5, TFF1, AGR3, and others) point to estrogen signaling, proliferation, and epithelial differentiation as candidate actionable modules, which aligns with the integrative multi-omics computational aim of nominating biomarkers and targets for further experimental validation. A perturbation-fidelity control quantified this: for mRNA PAM50, JSD ordering gave a lower deletion AUC than random ordering (LogisticRegression 0.651 vs 0.666, paired t p=0.107; FullSizeCNN 0.776 vs 0.789, paired t p=0.022), whereas model-native attributions were the most faithful (SHAP 0.611; saliency 0.674). With only five fold-level observations this evidence is suggestive rather than definitive, and it confirms that imaging's value is the traceable coordinate system rather than superior attribution accuracy (Figure S16, Table S31). Independent METABRIC replication further supported these candidates: ESR1, TFF1, AGR3, and PGR remained strongly Luminal-enriched and FOXC1, MIA, and FABP7 remained Basal-enriched, while CCL19 (HR 0.85, p=4.2e-6), PGR (HR 0.87, p=1.8e-6), BIRC5 (HR 1.13, p=3.4e-5), and E2F8 (HR 1.08, p=6.8e-3) showed univariable survival associations that survived BH-FDR correction; after adjustment for age, Nottingham Prognostic Index, and subtype, CCL19 (HR 0.89, p=1.0e-3) and PGR (HR 0.93, p=2.2e-2) remained significant, whereas BIRC5 and E2F8 did not. These are independent univariable (and partly multivariable) associations rather than proof of clinical independent prognostic value, supporting candidate biomarker prioritisation rather than novel target discovery (Table S32).</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0.5848 versus 0.5945;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t>As an additional pathway-level biological annotation, we examined Hypoxia, ROS, OXPHOS, UPR, mTORC1, Glycolysis, EMT, and DNA-repair marker-gene signatures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 From a stress-adaptation perspective, these negative results do not exclude a role for stress responses in breast-cancer biology; they indicate that compact marker-gene signatures do not resolve such programs at bulk-transcriptome resolution in this cohort, and they motivate single-cell, spatial, or perturbation-based follow-up.</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2026).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p=0.852)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multi-omics fusion results are leak-free 5-fold estimates but have not been re-evaluated under fully nested CV, and independent external validation is still necessary. Survival modeling should be regarded as an auxiliary exploratory objective rather than a clinical prognostic tool, given the few death events and near-chance external discrimination. The rebuilt GDC gene-level CNV matrix and the miRNA matrix have slightly smaller sample coverage than the original cohort manifest, so the triple-omics intersections (486 PAM50, 725 survival) differ from the earlier 493/731 counts.</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resolve stress-adaptive programs at single-cell or spatial resolution,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r>
        <w:t>Hanahan, D., and Weinberg, R. A. (2011). Hallmarks of cancer: the next generation. Cell. 144(5):646-674. doi:10.1016/j.cell.2011.02.013. PMID:21376230.</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(2026). MoACNN-XGNet: Interpretable Multi-Omics Convolutional Network for Breast Cancer Subtyping and Prognostic Genes Identification. IEEE J Biomed Health Inform. 30(4):3267-3280.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r>
        <w:t>Luo, J., Solimini, N. L., and Elledge, S. J. (2009). Principles of cancer therapy: oncogene and non-oncogene addiction. Cell. 136(5):823-837. doi:10.1016/j.cell.2009.02.024. PMID:19269363.</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Pölsterl, S. (2020). scikit-survival: A library for time-to-event analysis built on top of scikit-learn. J Mach Learn Res. 21(212):1-6.</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 archived at commit e74de48.</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