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 等价基线与 FullSizeCNN 表现相当或更优，而 JSD 引导的螺旋排序并未显著优于随机排列，说明图像化的主要价值在于可解释性而非预测增益。可解释分析识别出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维向量。单组学任务直接经 64 维全连接、ReLU 和 Dropout 后输出分类 logits 或生存风险。多组学整合时，三个组学各自的 32 维描述子先拼接为 96 维，再经门控注意力按 softmax 权重加权求和为 32 维，最后经 32→64 全连接后输出；也可采用概率晚期平均融合。结构如图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852160" cy="2080768"/>
            <wp:docPr id="2" name="Picture 2"/>
            <wp:cNvGraphicFramePr>
              <a:graphicFrameLocks noChangeAspect="1"/>
            </wp:cNvGraphicFramePr>
            <a:graphic>
              <a:graphicData uri="http://schemas.openxmlformats.org/drawingml/2006/picture">
                <pic:pic>
                  <pic:nvPicPr>
                    <pic:cNvPr id="0" name="fig2_2d_detail.png"/>
                    <pic:cNvPicPr/>
                  </pic:nvPicPr>
                  <pic:blipFill>
                    <a:blip r:embed="rId11"/>
                    <a:stretch>
                      <a:fillRect/>
                    </a:stretch>
                  </pic:blipFill>
                  <pic:spPr>
                    <a:xfrm>
                      <a:off x="0" y="0"/>
                      <a:ext cx="5852160" cy="208076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Omics image representation and the multi-omics FullSizeCNN. Three JSD-ordered grayscale maps (mRNA 20×20, CNV 8×8, miRNA 25×25) are each processed by a full-size H×W convolution with 32 filters into 32 global descriptors. The three descriptors are concatenated (96), reweighted by a softmax gated attention (32), and passed through a 32→64 MLP head, which feeds a four-class PAM50 head and a survival-risk head. Survival uses image sizes 15×15 / 13×13 / 25×25. High-JSD features are placed centrally; the full-size kernel is mathematically equivalent to a flattened linear projection and mainly serves the interpretability interface.</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compares each triple-omics fusion scheme with the best single-omics baseline;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5852160" cy="3867705"/>
            <wp:docPr id="5" name="Picture 5"/>
            <wp:cNvGraphicFramePr>
              <a:graphicFrameLocks noChangeAspect="1"/>
            </wp:cNvGraphicFramePr>
            <a:graphic>
              <a:graphicData uri="http://schemas.openxmlformats.org/drawingml/2006/picture">
                <pic:pic>
                  <pic:nvPicPr>
                    <pic:cNvPr id="0" name="fig5_triple_integration_dumbbell.png"/>
                    <pic:cNvPicPr/>
                  </pic:nvPicPr>
                  <pic:blipFill>
                    <a:blip r:embed="rId14"/>
                    <a:stretch>
                      <a:fillRect/>
                    </a:stretch>
                  </pic:blipFill>
                  <pic:spPr>
                    <a:xfrm>
                      <a:off x="0" y="0"/>
                      <a:ext cx="5852160" cy="3867705"/>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vs best single-omics. Each fusion scheme (colored point with SD) is linked to the best single-omics baseline on intersection samples (gray point).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对比了这些复杂方法与最优单组学基线的 PAM50 与生存结果。</w:t>
      </w:r>
    </w:p>
    <w:p>
      <w:pPr>
        <w:keepNext/>
        <w:spacing w:before="100" w:after="20"/>
        <w:jc w:val="center"/>
      </w:pPr>
      <w:r>
        <w:drawing>
          <wp:inline xmlns:a="http://schemas.openxmlformats.org/drawingml/2006/main" xmlns:pic="http://schemas.openxmlformats.org/drawingml/2006/picture">
            <wp:extent cx="5852160" cy="3893510"/>
            <wp:docPr id="6" name="Picture 6"/>
            <wp:cNvGraphicFramePr>
              <a:graphicFrameLocks noChangeAspect="1"/>
            </wp:cNvGraphicFramePr>
            <a:graphic>
              <a:graphicData uri="http://schemas.openxmlformats.org/drawingml/2006/picture">
                <pic:pic>
                  <pic:nvPicPr>
                    <pic:cNvPr id="0" name="fig6_advanced_methods_dumbbell.png"/>
                    <pic:cNvPicPr/>
                  </pic:nvPicPr>
                  <pic:blipFill>
                    <a:blip r:embed="rId15"/>
                    <a:stretch>
                      <a:fillRect/>
                    </a:stretch>
                  </pic:blipFill>
                  <pic:spPr>
                    <a:xfrm>
                      <a:off x="0" y="0"/>
                      <a:ext cx="5852160" cy="389351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vs best single-omics. Colored points (mean±SD) are Multi-task, DeepSurv, Transformer, low-rank bilinear fusion, and GNN, each linked to the best single-omics baseline (gray point). A and B: PAM50 Accuracy and Macro-F1; C and D: survival ROC AUC and C-index.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 Δ 热力图见图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4633675"/>
            <wp:docPr id="9" name="Picture 9"/>
            <wp:cNvGraphicFramePr>
              <a:graphicFrameLocks noChangeAspect="1"/>
            </wp:cNvGraphicFramePr>
            <a:graphic>
              <a:graphicData uri="http://schemas.openxmlformats.org/drawingml/2006/picture">
                <pic:pic>
                  <pic:nvPicPr>
                    <pic:cNvPr id="0" name="fig9_category_masking_heatmap.png"/>
                    <pic:cNvPicPr/>
                  </pic:nvPicPr>
                  <pic:blipFill>
                    <a:blip r:embed="rId18"/>
                    <a:stretch>
                      <a:fillRect/>
                    </a:stretch>
                  </pic:blipFill>
                  <pic:spPr>
                    <a:xfrm>
                      <a:off x="0" y="0"/>
                      <a:ext cx="5852160" cy="4633675"/>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Functional-category masking heatmap. Each cell is the performance change (Δ) after masking a category relative to the unmasked baseline for CNV PAM50, CNV survival, miRNA PAM50, and miRNA survival (red, decrease; blue, increase). 5-fold cross-validation SD is reported in Supplementary Table S17.</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