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宋体" w:cs="Times New Roman"/>
          <w:b/>
          <w:color w:val="0B2545"/>
          <w:sz w:val="30"/>
        </w:rPr>
        <w:t>Supplementary Material: Data, Feature Selection, Single-Omics and Multi-Omics Modeling Results</w:t>
      </w:r>
    </w:p>
    <w:p>
      <w:pPr>
        <w:spacing w:after="200"/>
        <w:jc w:val="center"/>
      </w:pPr>
      <w:r>
        <w:rPr>
          <w:rFonts w:ascii="Times New Roman" w:hAnsi="Times New Roman" w:eastAsia="宋体" w:cs="Times New Roman"/>
          <w:b/>
          <w:color w:val="1F4D78"/>
          <w:sz w:val="24"/>
        </w:rPr>
        <w:t>补充材料：数据、特征筛选、单组学与多组学建模完整结果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S1. 数据来源与样本清单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数据来自 TCGA-BRCA 的公开平台 GDC 与 UCSC Xena[S1,S2]。mRNA 采用 HiSeqV2 基因表达矩阵；CNV 采用 GISTIC2 基因级阈值化拷贝数[S3]；miRNA 采用 miRNA 表达矩阵。样本优先选择原发肿瘤，按 TCGA barcode 对齐。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S1. Sample sizes by omics and intersections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3"/>
        <w:gridCol w:w="998"/>
        <w:gridCol w:w="998"/>
        <w:gridCol w:w="998"/>
        <w:gridCol w:w="1248"/>
        <w:gridCol w:w="1248"/>
        <w:gridCol w:w="1248"/>
        <w:gridCol w:w="1249"/>
      </w:tblGrid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miRNA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Triple intersection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mRNA∩CNV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mRNA∩miRNA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CNV∩miRNA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833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1073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1057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739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表 S1 仅给出样本数量。完整的样本级 provenance（case ID、sample type、mRNA/CNV/miRNA sample ID、PAM50 亚型、vital status、OS time/event 及各组学可用性）见 data/sample_level_provenance.tsv（共 1,098 例）。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S2. 特征提取算法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本研究比较了 4 种基础特征筛选方法及其两两组合[S4]。低方差过滤（V）移除近常数特征；F 值（ANOVA F）衡量连续特征与分类标签的线性判别能力；L1/LASSO 通过线性 SVM 的稀疏系数进行嵌入式选择[S5]；JSD 基于类别间分箱直方图的 Jensen–Shannon divergence。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JSD 公式：D_JSD(P||Q)=0.5 Σ_x [P(x) log2(2P(x)/(P(x)+Q(x))) + Q(x) log2(2Q(x)/(P(x)+Q(x)))]。实际计算时 P、Q 为加 ε 后归一化的类别直方图；二分类直接计算两类间 JSD。PAM50 mRNA 和生存数据使用平均 pairwise JSD，PAM50 CNV 使用 one-vs-rest max JSD，PAM50 miRNA 先使用 pairwise JSD 粗筛、再以 L1 精筛。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组合方式包括 V、V_F、V_L1、V_JSD、V_F_L1、V_F_JSD、V_L1_F、V_L1_JSD、V_JSD_F、V_JSD_L1，其中 V 表示低方差预过滤，下划线后的顺序表示先粗筛后精筛或先粗筛后嵌入选择。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S2. Feature-selection algorithm combinations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259"/>
        <w:gridCol w:w="7101"/>
      </w:tblGrid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Description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filter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ANOVA F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L1/LASSO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L1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L1 fine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S3. 最终特征数量与数据集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PAM50 最终特征数：mRNA 400、CNV 50、miRNA 600。生存最终特征数：mRNA 200、CNV 150、miRNA 600。特征名全部保留，数据文件见 data/final_datasets/。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S3. Final feature counts and JSD image sizes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71"/>
        <w:gridCol w:w="1337"/>
        <w:gridCol w:w="1504"/>
        <w:gridCol w:w="1839"/>
        <w:gridCol w:w="1671"/>
        <w:gridCol w:w="1338"/>
      </w:tblGrid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Final features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Image size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Grid capacity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Zero-padded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20×20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8×8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64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14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15×15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13×13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169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19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S4. 单组学全部模型结果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Table S4 reports full-sample single-omics 5-fold CV results based on final features selected within each training fold.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S4. Single-omics full-sample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S5. 交集单组学基线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为与多组学融合公平比较，在统一交集样本上重新计算单组学基线。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S5. Single-omics baselines on triple-omics intersection samples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0.8012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S6. 三组学融合结果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S6. Triple-omics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0.7951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0.5711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S7. 两两组学融合结果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S7. Pairwise-omics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22"/>
        <w:gridCol w:w="2621"/>
        <w:gridCol w:w="1498"/>
        <w:gridCol w:w="1622"/>
        <w:gridCol w:w="998"/>
        <w:gridCol w:w="999"/>
      </w:tblGrid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0.9535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0.8597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0.8290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0.8056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0.5467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0.5529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0.6360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S8. 9 模型 Stacking 与复杂方法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S8. Nine-model Stacking and base-model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383"/>
        <w:gridCol w:w="2042"/>
        <w:gridCol w:w="2212"/>
        <w:gridCol w:w="1361"/>
        <w:gridCol w:w="1362"/>
      </w:tblGrid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0.6667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0.8094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0.0432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0.6459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S9. Complex integration-method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627"/>
        <w:gridCol w:w="1971"/>
        <w:gridCol w:w="2135"/>
        <w:gridCol w:w="1314"/>
        <w:gridCol w:w="1313"/>
      </w:tblGrid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0.0626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0.6519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0.1053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0.8635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0.0177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S9. 配对检验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S10. Paired tests between best fusion and best single-omics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26"/>
        <w:gridCol w:w="918"/>
        <w:gridCol w:w="1101"/>
        <w:gridCol w:w="734"/>
        <w:gridCol w:w="734"/>
        <w:gridCol w:w="1193"/>
        <w:gridCol w:w="734"/>
        <w:gridCol w:w="734"/>
        <w:gridCol w:w="918"/>
        <w:gridCol w:w="734"/>
        <w:gridCol w:w="734"/>
      </w:tblGrid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fusion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std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single-omics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std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Fusion−single difference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Paired t 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 p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0.9979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0.6125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 LateAvg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0.0930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FullSizeCNN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0.5480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S10. 图像化消融与结构对比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不同排序方案的 FullSizeCNN 结果、经典全尺寸卷积结构和 WGAN-GP 数据增强结果如下。WGAN-GP 数据增强基于 GAN、Wasserstein GAN 和梯度惩罚训练策略实现[S6-S8]。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S11. JSD spiral ordering vs functional-reordering schemes (PAM50;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S12. Classical full-size convolutional structures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0.9081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S13. WGAN-GP augmentation (baseline vs 1x/5x/10x) with FullSizeCNN across mRNA, CNV, and miRNA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14"/>
        <w:gridCol w:w="1775"/>
        <w:gridCol w:w="1775"/>
        <w:gridCol w:w="1614"/>
        <w:gridCol w:w="1291"/>
        <w:gridCol w:w="1291"/>
      </w:tblGrid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0.9352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0.7103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0.8451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0.8178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0.7822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0.7132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0.6461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6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assic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S1. Classical full-size convolutional structures. Accuracy/Macro-F1 and ROC AUC/C-index are compared for FullSizeCNN, GroupNorm+Mish, FCN, ResNet, and multi-branch SE; error bars show 5-fold CV SD.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9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gm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S2. WGAN-GP augmentation for single-omics prediction. Comparisons include no augmentation, 1x, 5x, and 10x for mRNA, CNV, and miRNA;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为检验二维空间结构是否带来额外增益，训练了与 FullSizeCNN 首层参数量一致的 Dense 等价基线（Flatten→Dense(32)→Dense(64)→输出）。Dense 等价基线与 FullSizeCNN 的逐组学、逐任务、逐指标比较见 Table S14 与 Figure S3。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S14. Dense-equivalent baseline vs FullSizeCNN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486"/>
        <w:gridCol w:w="1634"/>
        <w:gridCol w:w="1486"/>
        <w:gridCol w:w="2377"/>
        <w:gridCol w:w="2377"/>
      </w:tblGrid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Dense-equivalent mean±SD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FullSizeCNN mean±SD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0.9568±0.0184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0.9521±0.0211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0.6596±0.0555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0.6768±0.0549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0.6802±0.0739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0.7125±0.0303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0.7238±0.0270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0.7164±0.0246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0.6703±0.0329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0.6727±0.0352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0.6434±0.0421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0.6244±0.0428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0.6563±0.0631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0.6199±0.0591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0.8370±0.0073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0.8230±0.0227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0.8104±0.0148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0.7785±0.0338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0.6471±0.0481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0.6301±0.0401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0.5961±0.0486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0.6067±0.0703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nse_equival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S3. Dense-equivalent baseline vs FullSizeCNN. A: PAM50 Accuracy; B: Survival C-index. The dense network with an identical first-layer parameter count performs comparably to, or better than, FullSizeCNN, indicating that the 2-D spatial arrangement does not itself provide a consistent predictive gain;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 JSD 螺旋排序是否优于随机排序，对 mRNA 生成 20 次随机基因排列，并加入均值表达排序作为确定性对照。随机排列的分布、均值表达排序与 JSD 螺旋排序的对比见 Table S15 与 Figure S4；经验 p 值为 20 次随机排列中不低于 JSD 结果的占比。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S15. Random-permutation ordering control for mRNA (5-fold CV; JSD spiral vs 20 random orders vs mean-expression ordering)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40"/>
        <w:gridCol w:w="1156"/>
        <w:gridCol w:w="1040"/>
        <w:gridCol w:w="1156"/>
        <w:gridCol w:w="1040"/>
        <w:gridCol w:w="924"/>
        <w:gridCol w:w="924"/>
        <w:gridCol w:w="924"/>
        <w:gridCol w:w="1156"/>
      </w:tblGrid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JSD spiral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 expression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mean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std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min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max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p(random ≥ JSD)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0.9267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0.6393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0.6853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0.6796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0.7237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0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ndom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S4. Random-permutation ordering control. A: PAM50 Accuracy; B: PAM50 Macro-F1; C: Survival ROC AUC; D: Survival C-index. Histograms show the distribution over 20 random gene orders; the JSD spiral and mean-expression orderings fall within the null, so the spatial ordering does not itself improve prediction.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S11. 可解释性补充图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SHAP、梯度 saliency 与 Grad-CAM 分别用于全局特征归因、单样本像素/基因重要性解释和卷积梯度定位[S9-S11]。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7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S5. Top-20 SHAP genes for mRNA PAM50 LogisticRegression. The x-axis is mean absolute SHAP contribution; the y-axis is gene name.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7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nn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S6. Top-20 CNN saliency genes for mRNA PAM50. Gradient-based saliency ranks input pixels/genes and highlights the most attended image regions.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24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sensus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S7. Top-20 consensus genes between SHAP and CNN saliency.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20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ival_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S8. Top univariate Cox hazard ratios for survival genes. HR&lt;1 indicates association with better survival; HR&gt;1 indicates worse survival.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734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rich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S9. Pathway enrichment of consensus genes.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S12. 方案2功能类别遮盖实验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为解释功能模块对模型的贡献，在方案2图像上逐一遮盖各功能类别，比较 FullSizeCNN 的 PAM50 分类与生存预测性能。遮盖方式为将目标类别像素置零，其余类别保持不变。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S16. mRNA scheme-2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841"/>
        <w:gridCol w:w="2455"/>
        <w:gridCol w:w="1381"/>
        <w:gridCol w:w="1534"/>
        <w:gridCol w:w="1074"/>
        <w:gridCol w:w="1075"/>
      </w:tblGrid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0.0087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0.0348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0.0412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0.8961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0.0135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0.0421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0.6375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3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masking_flow_en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S10. Scheme-2 functional-category masking workflow. A: before masking; B: functional category map; C: after masking Other.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70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category_mas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70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S11. mRNA scheme-2 functional-category masking performance. A: PAM50 Accuracy; B: Survival C-index;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S13. CNV 与 miRNA 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需要说明，CNV 与 miRNA 的功能分类均为启发式注释（heuristic annotation），而非互斥的生物学本体。CNV 通过基因符号的关键词规则归入六大类别；miRNA 先由 MIMAT 映射至 hsa-miR 名称，再按其家族/已知功能归入同一六大类别[S12]。该规则仅覆盖部分基因，大量特征被归入 Other，因此相关遮盖结果应视为方向性证据而非确定的生物学结论。完整的特征→类别注释映射见 data/omics_functional_category_annotation.tsv。两种组学均采用与 mRNA 相同的遮盖-重训练-评估流程。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S17. CNV and miRNA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203"/>
        <w:gridCol w:w="1203"/>
        <w:gridCol w:w="1872"/>
        <w:gridCol w:w="2139"/>
        <w:gridCol w:w="1070"/>
        <w:gridCol w:w="936"/>
        <w:gridCol w:w="937"/>
      </w:tblGrid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0.8008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0.5314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47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ther_omics_category_masking_v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S12. CNV and miRNA functional-category masking performance. A-D: CNV PAM50, CNV Survival, miRNA PAM50, and miRNA Survival.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S14. 等量随机遮盖对照与统计检验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为控制特征数量和区域大小效应，对 mRNA 每个功能类别生成同数量随机基因遮盖对照。折级指标见补充文件，配对 t 检验与 Wilcoxon 检验结果见下表。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S18. Fold-level metrics for mRNA equal-size random masking controls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60"/>
        <w:gridCol w:w="1170"/>
        <w:gridCol w:w="3120"/>
        <w:gridCol w:w="1950"/>
        <w:gridCol w:w="1560"/>
      </w:tblGrid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fold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0.9661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0.8489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0.9337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0.7498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0.7112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0.7904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S19. Paired tests between mRNA functional-category masks and baseline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118"/>
        <w:gridCol w:w="1956"/>
        <w:gridCol w:w="1397"/>
        <w:gridCol w:w="1257"/>
        <w:gridCol w:w="1118"/>
        <w:gridCol w:w="1257"/>
        <w:gridCol w:w="1257"/>
      </w:tblGrid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ttest_stat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ttest_p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wilcoxon_stat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wilcoxon_p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-1.2432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0.2817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-1.2120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0.2922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0.3035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-1.7707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0.1513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-0.8798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0.4287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-1.2614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0.2757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-1.4369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0.2241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-1.0859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0.3386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-0.7308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0.5054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-0.1295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-0.1022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-0.8466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0.4449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-0.4913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-2.0945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-3.0661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-0.5634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-0.2724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-2.2398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-2.3043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-1.3270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0.2552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-0.9980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0.3748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-0.8080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0.4644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-0.8884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0.4245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0.1019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-0.3880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-0.1146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0.2188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-1.7187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0.1608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-0.2505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-0.0929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1.0499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0.3530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2.2770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0.0851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1.2662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-1.3694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0.2427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-0.6021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677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rna_equal_mask_contr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S13. mRNA functional-category masks vs equal-size random masks.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S15. Other 类二次富集与共识基因交叉验证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对 mRNA PAM50 的 Other 类基因重新进行 GO/KEGG/Reactome 富集，并与 SHAP/CNN saliency Top50 共识基因进行功能类别交叉验证[S13-S15]。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S20. Secondary functional enrichment of mRNA PAM50 Other genes (top 12)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24"/>
        <w:gridCol w:w="1609"/>
        <w:gridCol w:w="3802"/>
        <w:gridCol w:w="1462"/>
        <w:gridCol w:w="1463"/>
      </w:tblGrid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source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term_id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term_name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p_value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intersection_size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GO:0030855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GO:0060429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epithelium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GO:0009888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tissue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KEGG:04915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Estrogen signaling pathway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GO:0009653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morphogenesis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37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GO:0009913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epidermal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GO:0032501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multicellular organismal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GO:0048856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0.0218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GO:0032502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GO:0008283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population proliferation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GO:0030216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keratinocyte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GO:0030154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S21. Overlap between SHAP/CNN saliency Top50 consensus genes and mRNA functional categories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016"/>
        <w:gridCol w:w="1440"/>
        <w:gridCol w:w="1584"/>
        <w:gridCol w:w="4320"/>
      </w:tblGrid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category_size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consensus_overlap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overlap_genes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MYBL2;TLX1;IL1RL2;SLC6A11;DSC3;KLK6;OGN;SLC15A1;GPR19;C10orf90;NAV3;PPP1R14C;MAPK4;SYT8;KCNH1;FSD1;FLJ45983;MIA;C1orf173;CCDC150;PTX3;FGFBP1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38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KCNJ3;FABP7;FAM131C;AQP5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OSR1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STAC2;MAG;ZBTB16;MAPT;TPSG1;BIRC5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ANKRD30A;CST9;TCAM1P;PLA2G10;KRT17;PGR;E2F8;ESR1;HSD17B2;CYP2B7P1;KRT6C;SMC1B;BPI;ATP10B;LCT;FOXC1;AMY1A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S16. 应激与适应性重编程通路分析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面向 Molecular Stress Responses and Adaptive Reprogramming 主题，在全转录组（TCGA-BRCA HiSeqV2，20,530 基因）上对 Hypoxia、ROS、OXPHOS、UPR、mTORC1、Glycolysis、EMT、DNA repair 八条通路进行了探索性分析：以精选标志基因集合计算每样本通路评分，并用 Fisher 精确检验考察其在前 500 个 JSD 高重要性基因中的富集，用 Kruskal-Wallis 检验考察其与 PAM50 亚型的关联，用单变量 Cox 回归考察其与总生存的关联。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S22. Stress / adaptive-reprogramming pathway analysis over the full mRNA transcriptome (Fisher enrichment in top-500 JSD genes; Kruskal-Wallis for PAM50; univariate Cox for overall survival)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76"/>
        <w:gridCol w:w="1183"/>
        <w:gridCol w:w="968"/>
        <w:gridCol w:w="861"/>
        <w:gridCol w:w="861"/>
        <w:gridCol w:w="1183"/>
        <w:gridCol w:w="753"/>
        <w:gridCol w:w="861"/>
        <w:gridCol w:w="861"/>
        <w:gridCol w:w="753"/>
      </w:tblGrid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Pathway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transcriptome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top-500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Enrichment OR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p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Kruskal-Wallis p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Survival HR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lower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upper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p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Hypoxia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1.0630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1.3520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ROS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2.3590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0.3585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1.4130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0.8751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OXPHOS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0.9760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1.2260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0.8373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UPR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2.5070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0.3425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1.2270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0.5547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mTORC1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5.3590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1.2910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0.7862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Glycolysis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2.6740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0.3261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0.9910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1.2520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EMT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1.0230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0.8130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1.2870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0.8467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DNA repair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0.7890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0.5920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1.0500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10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ss_pathw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S14. Stress / adaptive-reprogramming pathway analysis. A: Fisher enrichment (-log10 p) of eight pathways among the top-500 JSD genes; B: univariate Cox hazard ratios for overall survival. No pathway is significantly enriched or prognostic; error bars show 95% confidence intervals.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S17. PAM50 50 基因剔除敏感性分析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为验证 mRNA PAM50 任务的判别信号是否主要来自经典 PAM50 50 基因面板，本研究在 mRNA PAM50 的最终 400 个 JSD 排序特征上进行了剔除敏感性分析。三种配置分别为：Full 400 genes（完整 400 特征）、Exclude PAM50 genes（从 400 特征中删除与 PAM50 50 基因重叠的 21 个基因，剩 379 特征）和 PAM50 genes only（仅保留重叠的 21 个基因）。对每种配置重新计算 JSD 排序并生成对应尺寸的灰度图，采用 LogisticRegression、MLP 和 FullSizeCNN 在统一 5 折分层交叉验证下评估 Accuracy 与 Macro-F1。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S23. PAM50 50-gene exclusion sensitivity analysis for mRNA PAM50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19"/>
        <w:gridCol w:w="2114"/>
        <w:gridCol w:w="2114"/>
        <w:gridCol w:w="2113"/>
      </w:tblGrid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Configuration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Accuracy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Macro-F1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0.9628±0.0167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0.9183±0.0179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0.9628±0.0138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0.9590±0.0185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0.9232±0.0292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0.9065±0.0332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0.9171±0.0177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0.9068±0.0153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0.9220±0.0076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0.9134±0.0144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0.8980±0.0173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0.8864±0.0243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0.9003±0.0169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0.8861±0.0186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96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m50_gene_excl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S15. PAM50 50-gene exclusion sensitivity analysis. A: Accuracy; B: Macro-F1. Removing the 21 PAM50-overlapping genes barely changes performance, whereas the 21 PAM50 genes alone underperform the full 400-gene signature;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S18. 数据与脚本文件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data/final_datasets/PAM50/{mRNA,CNV,miRNA}_PAM50_final.tsv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data/final_datasets/Survival/{mRNA,CNV,miRNA}_Survival_final.tsv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data/images/PAM50/{mRNA,CNV,miRNA}/images.npy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data/images/Survival/{mRNA,CNV,miRNA}/images.npy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data/pam50_gene_exclusion_results.tsv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data/dense_equivalent_baseline_results.tsv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data/random_permutation_control_stats.tsv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data/stress_pathway_analysis_results.tsv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data/omics_functional_category_annotation.tsv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data/sample_level_provenance.tsv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scripts/run_comprehensive_batch1_single_omics.py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scripts/run_comprehensive_triple_integration.py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scripts/run_comprehensive_pairwise_integration.py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scripts/run_final_9model_stacking.py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scripts/run_advanced_method*.py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scripts/run_interpretability_key_factors.py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scripts/run_scheme2_category_masking.py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scripts/run_other_omics_category_masking.py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scripts/run_mrna_equal_mask_control.py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scripts/supplement_masking_analyses.py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scripts/generate_jsd_images.py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scripts/adaptive_jsd.py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scripts/pam50_gene_exclusion_sensitivity.py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scripts/run_dense_baseline.py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scripts/run_random_permutation_control.py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scripts/run_stress_pathway_analysis.py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scripts/generate_annotation_mapping.py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scripts/generate_sample_provenance.py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为避免把大量结果表全部嵌入 Word，本补充材料仅保留关键汇总表与图示；全部 `data/**/*.tsv` 结果表已转换为 CSV 并打包为 `data/supplementary_data/supplementary_data_tables.zip`。压缩包内含 `manifest.tsv`，逐行记录源 TSV 的相对路径、对应 CSV 文件名、行数、列数与转换状态，作为机器可读结果的权威清单。读者可从 GitHub 仓库下载该压缩包逐项复核。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软件与库版本：Python 3.11、scikit-learn、PyTorch、lifelines、pandas、NumPy 和 matplotlib。主要计算库引用为 scikit-learn[S16]、PyTorch[S17] 与 lifelines[S18]。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复现时建议固定随机种子 42；所有特征筛选、标准化、数据增强和模型拟合均在交叉验证训练折内完成，测试折不参与任何预处理与参数选择。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S19. 补充材料参考文献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[S1] Grossman RL, Heath AP, Ferretti V, Varmus HE, Lowy DR, Kibbe WA, et al. Toward a Shared Vision for Cancer Genomic Data. N Engl J Med. 2016;375(12):1109-1112. doi:10.1056/NEJMp1607591. PMID:27653561.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[S2] Goldman MJ, Craft B, Hastie M, Repecka K, McDade F, Kamath A, et al. Visualizing and interpreting cancer genomics data via the Xena platform. Nat Biotechnol. 2020;38(6):675-678. doi:10.1038/s41587-020-0546-8. PMID:32444850.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[S3] Mermel CH, Schumacher SE, Hill B, Meyerson ML, Beroukhim R, Getz G. GISTIC2.0 facilitates sensitive and confident localization of the targets of focal somatic copy-number alteration in human cancers. Genome Biol. 2011;12(4):R41. doi:10.1186/gb-2011-12-4-r41. PMID:21527027.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[S4] Guyon I, Elisseeff A. An introduction to variable and feature selection. J Mach Learn Res. 2003;3:1157-1182.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[S5] Tibshirani R. Regression shrinkage and selection via the lasso. J R Stat Soc Series B Stat Methodol. 1996;58(1):267-288. doi:10.1111/j.2517-6161.1996.tb02080.x.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[S6] Goodfellow I, Pouget-Abadie J, Mirza M, Xu B, Warde-Farley D, Ozair S, et al. Generative adversarial nets. In: Advances in Neural Information Processing Systems. 2014;27:2672-2680. arXiv:1406.2661.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[S7] Arjovsky M, Chintala S, Bottou L. Wasserstein generative adversarial networks. In: Proceedings of the 34th International Conference on Machine Learning. PMLR. 2017;70:214-223.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[S8] Gulrajani I, Ahmed F, Arjovsky M, Dumoulin V, Courville A. Improved training of Wasserstein GANs. In: Advances in Neural Information Processing Systems. 2017:5767-5777. arXiv:1704.00028.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[S9] Simonyan K, Vedaldi A, Zisserman A. Deep inside convolutional networks: visualising image classification models and saliency maps. arXiv:1312.6034. 2014.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[S10] Selvaraju RR, Cogswell M, Das A, Vedantam R, Parikh D, Batra D. Grad-CAM: visual explanations from deep networks via gradient-based localization. In: Proceedings of the IEEE International Conference on Computer Vision. 2017:618-626. doi:10.1109/ICCV.2017.74.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[S11] Lundberg SM, Lee SI. A unified approach to interpreting model predictions. In: Advances in Neural Information Processing Systems. 2017;30:4765-4774. arXiv:1705.07874.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[S12] Kozomara A, Birgaoanu M, Griffiths-Jones S. miRBase: from microRNA sequences to function. Nucleic Acids Res. 2019;47(D1):D155-D162. doi:10.1093/nar/gky1141. PMID:30423142.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[S13] The Gene Ontology Consortium. The Gene Ontology knowledgebase in 2023. Genetics. 2023;224(1):iyad031. doi:10.1093/genetics/iyad031. PMID:36866529.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[S14] Kanehisa M, Furumichi M, Sato Y, Ishiguro-Watanabe M, Tanabe M. KEGG: integrating viruses and cellular organisms. Nucleic Acids Res. 2021;49(D1):D545-D551. doi:10.1093/nar/gkaa970. PMID:33125081.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[S15] Gillespie M, Jassal B, Stephan R, Milacic M, Rothfels K, Senff-Ribeiro A, et al. The reactome pathway knowledgebase 2022. Nucleic Acids Res. 2022;50(D1):D687-D692. doi:10.1093/nar/gkab1028. PMID:34788843.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[S16] Pedregosa F, Varoquaux G, Gramfort A, Michel V, Thirion B, Grisel O, et al. Scikit-learn: Machine Learning in Python. J Mach Learn Res. 2011;12:2825-2830.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[S17] Paszke A, Gross S, Massa F, Lerer A, Bradbury J, Chanan G, et al. PyTorch: an imperative style, high-performance deep learning library. In: Advances in Neural Information Processing Systems. 2019;32:8024-8035.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[S18] Davidson-Pilon C. lifelines: survival analysis in Python. J Open Source Softw. 2019;4(40):1317. doi:10.21105/joss.01317.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55555"/>
        <w:sz w:val="16"/>
      </w:rPr>
      <w:t xml:space="preserve">Distribution-divergence-guided omics imaging ·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cs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