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0"/>
        <w:jc w:val="center"/>
      </w:pPr>
      <w:r/>
      <w:r>
        <w:rPr>
          <w:rFonts w:ascii="Times New Roman" w:hAnsi="Times New Roman" w:eastAsia="宋体" w:cs="Times New Roman"/>
          <w:b/>
          <w:color w:val="0B2545"/>
          <w:sz w:val="32"/>
        </w:rPr>
        <w:t>Supervised distribution-divergence-guided omics imaging for interpretable multi-omics integration in breast cancer subtyping and survival-risk stratification</w:t>
      </w:r>
    </w:p>
    <w:p>
      <w:pPr>
        <w:spacing w:after="160" w:line="240" w:lineRule="auto"/>
        <w:ind w:firstLine="0"/>
        <w:jc w:val="center"/>
      </w:pPr>
      <w:r/>
      <w:r>
        <w:rPr>
          <w:rFonts w:ascii="Times New Roman" w:hAnsi="Times New Roman" w:eastAsia="宋体" w:cs="Times New Roman"/>
          <w:color w:val="555555"/>
          <w:sz w:val="20"/>
        </w:rPr>
        <w:t>Original Research</w:t>
      </w:r>
    </w:p>
    <w:p>
      <w:pPr>
        <w:spacing w:after="40" w:line="240" w:lineRule="auto"/>
        <w:ind w:firstLine="0"/>
        <w:jc w:val="center"/>
      </w:pPr>
      <w:r>
        <w:rPr/>
        <w:t>Hu Meng</w:t>
      </w:r>
      <w:r>
        <w:rPr>
          <w:vertAlign w:val="superscript"/>
        </w:rPr>
        <w:t>1</w:t>
      </w:r>
      <w:r>
        <w:rPr/>
        <w:t xml:space="preserve">, </w:t>
      </w:r>
      <w:r>
        <w:rPr/>
        <w:t>Bingye Li</w:t>
      </w:r>
      <w:r>
        <w:rPr>
          <w:vertAlign w:val="superscript"/>
        </w:rPr>
        <w:t>1</w:t>
      </w:r>
      <w:r>
        <w:rPr/>
        <w:t xml:space="preserve">, </w:t>
      </w:r>
      <w:r>
        <w:rPr/>
        <w:t>Zhihao Du</w:t>
      </w:r>
      <w:r>
        <w:rPr>
          <w:vertAlign w:val="superscript"/>
        </w:rPr>
        <w:t>1</w:t>
      </w:r>
      <w:r>
        <w:rPr/>
        <w:t xml:space="preserve">, </w:t>
      </w:r>
      <w:r>
        <w:rPr/>
        <w:t>Zhixia Teng</w:t>
      </w:r>
      <w:r>
        <w:rPr>
          <w:vertAlign w:val="superscript"/>
        </w:rPr>
        <w:t>2</w:t>
      </w:r>
      <w:r>
        <w:rPr/>
        <w:t xml:space="preserve">, </w:t>
      </w:r>
      <w:r>
        <w:rPr/>
        <w:t>Yongqiang Xing</w:t>
      </w:r>
      <w:r>
        <w:rPr>
          <w:vertAlign w:val="superscript"/>
        </w:rPr>
        <w:t>1</w:t>
      </w:r>
      <w:r>
        <w:rPr/>
        <w:t xml:space="preserve">, </w:t>
      </w:r>
      <w:r>
        <w:rPr/>
        <w:t>Qing Yang</w:t>
      </w:r>
      <w:r>
        <w:rPr>
          <w:vertAlign w:val="superscript"/>
        </w:rPr>
        <w:t>1</w:t>
      </w:r>
      <w:r>
        <w:rPr/>
        <w:t xml:space="preserve">, </w:t>
      </w:r>
      <w:r>
        <w:rPr/>
        <w:t>Guoqing Liu</w:t>
      </w:r>
      <w:r>
        <w:rPr>
          <w:vertAlign w:val="superscript"/>
        </w:rPr>
        <w:t>1</w:t>
      </w:r>
      <w:r>
        <w:rPr/>
        <w:t xml:space="preserve">, </w:t>
      </w:r>
      <w:r>
        <w:rPr/>
        <w:t>Lu Cai</w:t>
      </w:r>
      <w:r>
        <w:rPr>
          <w:vertAlign w:val="superscript"/>
        </w:rPr>
        <w:t>1,*</w:t>
      </w:r>
    </w:p>
    <w:p>
      <w:pPr>
        <w:spacing w:after="80" w:line="240" w:lineRule="auto"/>
        <w:ind w:firstLine="0"/>
        <w:jc w:val="center"/>
      </w:pPr>
      <w:r>
        <w:rPr>
          <w:vertAlign w:val="superscript"/>
        </w:rPr>
        <w:t>1</w:t>
      </w:r>
      <w:r>
        <w:rPr/>
        <w:t xml:space="preserve"> Inner Mongolia Key Laboratory of Life Health and Bioinformatics, College of Life Science and Technology, Inner Mongolia University of Science and Technology, Baotou 014010, China</w:t>
      </w:r>
    </w:p>
    <w:p>
      <w:pPr>
        <w:spacing w:after="80" w:line="240" w:lineRule="auto"/>
        <w:ind w:firstLine="0"/>
        <w:jc w:val="center"/>
      </w:pPr>
      <w:r>
        <w:rPr>
          <w:vertAlign w:val="superscript"/>
        </w:rPr>
        <w:t>2</w:t>
      </w:r>
      <w:r>
        <w:rPr/>
        <w:t xml:space="preserve"> College of Information and Computer Engineering, Northeast Forestry University, Harbin, China</w:t>
      </w:r>
    </w:p>
    <w:p>
      <w:pPr>
        <w:spacing w:after="80" w:line="240" w:lineRule="auto"/>
        <w:ind w:firstLine="0"/>
        <w:jc w:val="center"/>
      </w:pPr>
      <w:r>
        <w:rPr/>
        <w:t>* Correspondence:</w:t>
        <w:br/>
      </w:r>
      <w:r>
        <w:rPr/>
        <w:t>Lu Cai</w:t>
        <w:br/>
      </w:r>
      <w:r>
        <w:rPr/>
        <w:t>nmcailu@163.com</w:t>
      </w:r>
    </w:p>
    <w:p>
      <w:pPr>
        <w:pStyle w:val="Heading1"/>
        <w:spacing w:before="320" w:after="140" w:line="240" w:lineRule="auto"/>
        <w:ind w:firstLine="0"/>
        <w:jc w:val="left"/>
      </w:pPr>
      <w:r>
        <w:rPr>
          <w:rFonts w:ascii="Times New Roman" w:hAnsi="Times New Roman" w:eastAsia="宋体" w:cs="Times New Roman"/>
          <w:b/>
          <w:color w:val="0B2545"/>
          <w:sz w:val="32"/>
        </w:rPr>
        <w:t>Abstract</w:t>
      </w:r>
    </w:p>
    <w:p>
      <w:pPr>
        <w:spacing w:after="160" w:line="240" w:lineRule="auto"/>
        <w:ind w:firstLine="0"/>
        <w:jc w:val="both"/>
      </w:pPr>
      <w:r>
        <w:t>Background: Breast cancer is highly heterogeneous, and a single molecular layer cannot robustly capture PAM50 subtypes or overall-survival risk. Multi-omics integration is theoretically complementary, yet is limited by high feature dimensionality, small sample sizes, heterogeneous scales, and the absence of natural two-dimensional adjacency among molecular features. Methods: We propose a supervised, distribution-divergence-guided omics spatial representation that scores the discriminative importance of each feature with the Jensen-Shannon divergence (JSD), arranges features by center-outward spiral filling into a single-channel grayscale image, and processes the image with a full-size convolutional network (FullSizeCNN). The representation is benchmarked against classical machine-learning models, an MLP, censoring-aware survival models (CoxPH, CoxNet, random survival forest), and multiple multi-omics fusion strategies using TCGA-BRCA mRNA, CNV, and miRNA, with leak-free five-fold cross-validation (feature selection and JSD ordering inside each fold) and external single-omics validation on METABRIC. Results: mRNA was the dominant signal for PAM50 subtype reconstruction (FullSizeCNN accuracy 0.869, LogisticRegression 0.822; CNV MLP 0.600; miRNA Dense 0.799). Death-status classifiers showed weak-to-moderate survival discrimination (C-index 0.55-0.62), while censoring-aware models reached up to 0.656 (miRNA random survival forest). For PAM50, multi-omics fusion (CNN late-average accuracy 0.842) did not exceed the best intersection single-omics mRNA model (0.852); for survival, CNN late-average fusion reached ROC AUC 0.674. A dense-equivalent control indicated that the two-dimensional layout itself did not add predictive gain, and the principal value of imaging is interpretability. The pixel-to-gene coordinate system recovered ESR1, TFF1, AGR3, FOXC1, MIA, FABP7, CCL19, and MS4A1, enriched estrogen signaling, proliferation, and epithelial development, and connected ESR1/PGR with MYBL2/BIRC5/E2F8 through a consensus STRING network. Conclusions: The supervised divergence-guided representation provides a traceable, interpretable coordinate system that connects multi-omics models to key genes and pathways, positioning omics imaging as an interpretability interface rather than a predictive shortcut.</w:t>
      </w:r>
    </w:p>
    <w:p>
      <w:pPr>
        <w:spacing w:after="160" w:line="240" w:lineRule="auto" w:before="0"/>
        <w:ind w:firstLine="0"/>
        <w:jc w:val="left"/>
      </w:pPr>
      <w:r/>
      <w:r>
        <w:rPr>
          <w:rFonts w:ascii="Times New Roman" w:hAnsi="Times New Roman" w:eastAsia="宋体" w:cs="Times New Roman"/>
          <w:b/>
          <w:sz w:val="22"/>
        </w:rPr>
        <w:t>Keywords: breast cancer; multi-omics; omics imaging; Jensen-Shannon divergence; full-size convolution; PAM50; survival-risk stratification</w:t>
      </w:r>
    </w:p>
    <w:p>
      <w:pPr>
        <w:pStyle w:val="Heading1"/>
        <w:pageBreakBefore/>
        <w:spacing w:before="320" w:after="140" w:line="240" w:lineRule="auto"/>
        <w:ind w:firstLine="0"/>
        <w:jc w:val="left"/>
      </w:pPr>
      <w:r>
        <w:rPr>
          <w:rFonts w:ascii="Times New Roman" w:hAnsi="Times New Roman" w:eastAsia="宋体" w:cs="Times New Roman"/>
          <w:b/>
          <w:color w:val="0B2545"/>
          <w:sz w:val="32"/>
        </w:rPr>
        <w:t>Introduction</w:t>
      </w:r>
    </w:p>
    <w:p>
      <w:pPr>
        <w:spacing w:after="120" w:line="240" w:lineRule="auto"/>
        <w:ind w:firstLine="0"/>
        <w:jc w:val="both"/>
      </w:pPr>
      <w:r>
        <w:rPr>
          <w:rFonts w:ascii="Times New Roman" w:hAnsi="Times New Roman" w:eastAsia="宋体" w:cs="Times New Roman"/>
          <w:b w:val="0"/>
          <w:sz w:val="22"/>
        </w:rPr>
        <w:t>Breast cancer is among the most common malignancies in women. Its initiation, progression, and therapeutic response are governed by genetic, transcriptional, epigenetic, and microenvironmental layers, giving rise to marked molecular and clinical heterogeneity (Parker et al., 2009; Perou et al., 2000; Sørlie et al., 2001). Intrinsic molecular subtyping based on gene expression classifies breast cancer into Luminal A, Luminal B, Basal-like, HER2-enriched, and Normal-like subtypes, and the PAM50 gene set has become a standard tool for molecular subtyping and recurrence-risk estimation (Parker et al., 2009). Large-scale genomic studies have shown that the breast-cancer molecular landscape is shaped jointly by somatic mutations, copy-number variation (CNV), the transcriptome, and miRNAs (Cancer Genome Atlas Network, 2012; Curtis et al., 2012), and reproducible molecular subgroups exist even within triple-negative and invasive lobular carcinomas (Ciriello et al., 2015; Lehmann et al., 2011). Because overall survival (OS) directly reflects long-term outcome, simultaneously characterizing PAM50 subtypes and survival risk from multi-omics data has clear translational value.</w:t>
      </w:r>
    </w:p>
    <w:p>
      <w:pPr>
        <w:spacing w:after="120" w:line="240" w:lineRule="auto"/>
        <w:ind w:firstLine="0"/>
        <w:jc w:val="both"/>
      </w:pPr>
      <w:r>
        <w:rPr>
          <w:rFonts w:ascii="Times New Roman" w:hAnsi="Times New Roman" w:eastAsia="宋体" w:cs="Times New Roman"/>
          <w:b w:val="0"/>
          <w:sz w:val="22"/>
        </w:rPr>
        <w:t>The Cancer Genome Atlas (TCGA) and its Pan-Cancer Analysis Project provide large-scale, multi-platform, publicly available tumor molecular data, enabling systematic comparison of cross-omics patterns in breast and other cancers (Cancer Genome Atlas Network, 2012; Cancer Genome Atlas Research Network et al., 2013). Multi-platform analyses have shown that tissue of origin and molecular subtype jointly determine global molecular features, whereas a single omics often captures only part of the signal (Hoadley et al., 2014). Multi-omics integration is widely expected to fuse complementary information and has advanced cancer classification, prognostic modeling, and drug-response prediction (Cantini et al., 2021; Subramanian et al., 2020). Nevertheless, integration still faces high dimensionality, limited effective sample size, heterogeneous scales, missingness, and batch effects, which make interpretable and reproducible modeling difficult.</w:t>
      </w:r>
    </w:p>
    <w:p>
      <w:pPr>
        <w:spacing w:after="120" w:line="240" w:lineRule="auto"/>
        <w:ind w:firstLine="0"/>
        <w:jc w:val="both"/>
      </w:pPr>
      <w:r>
        <w:rPr>
          <w:rFonts w:ascii="Times New Roman" w:hAnsi="Times New Roman" w:eastAsia="宋体" w:cs="Times New Roman"/>
          <w:b w:val="0"/>
          <w:sz w:val="22"/>
        </w:rPr>
        <w:t>Feature selection is central to controlling overfitting, reducing computational cost, and improving biological interpretability in high-dimensional omics modeling (Guyon and Elisseeff, 2003). Common approaches include variance- or univariate-statistic-based filters, LASSO/elastic-net embedded sparsity, mutual-information-based minimal-redundancy maximal-relevance (mRMR), and Boruta-style random-forest importance wrappers (Battiti, 1994; Kursa and Rudnicki, 2010; Peng et al., 2005; Tibshirani, 1996; Zou and Hastie, 2005). These methods screen features from the perspectives of stability, linear discrimination, information redundancy, and perturbation importance, but their applicability and the retained feature sets are not identical.</w:t>
      </w:r>
    </w:p>
    <w:p>
      <w:pPr>
        <w:spacing w:after="120" w:line="240" w:lineRule="auto"/>
        <w:ind w:firstLine="0"/>
        <w:jc w:val="both"/>
      </w:pPr>
      <w:r>
        <w:rPr>
          <w:rFonts w:ascii="Times New Roman" w:hAnsi="Times New Roman" w:eastAsia="宋体" w:cs="Times New Roman"/>
          <w:b w:val="0"/>
          <w:sz w:val="22"/>
        </w:rPr>
        <w:t>At the classical machine-learning level, logistic regression, support vector machines, random forests, gradient boosting, and k-nearest neighbors have been widely applied to genomic and clinical prediction (Breiman, 2001; Cortes and Vapnik, 1995; Friedman, 2001), and remain baselines because of their interpretability, computational efficiency, and robustness on tabular data (Ching et al., 2018; Libbrecht and Noble, 2015; Zou et al., 2019). These methods usually take gene-expression or copy-number vectors directly as input and therefore cannot exploit spatial or network adjacency among features. Analogously, the progression from statistical models to classical machine learning and deep learning in ecological forecasting shows that model selection must jointly respect data structure and task objectives under data scarcity and interpretability constraints (Sui et al., 2026).</w:t>
      </w:r>
    </w:p>
    <w:p>
      <w:pPr>
        <w:spacing w:after="120" w:line="240" w:lineRule="auto"/>
        <w:ind w:firstLine="0"/>
        <w:jc w:val="both"/>
      </w:pPr>
      <w:r>
        <w:rPr>
          <w:rFonts w:ascii="Times New Roman" w:hAnsi="Times New Roman" w:eastAsia="宋体" w:cs="Times New Roman"/>
          <w:b w:val="0"/>
          <w:sz w:val="22"/>
        </w:rPr>
        <w:t>Deep learning provides new representation-learning capacity for biomedical data analysis (Ching et al., 2018; Libbrecht and Noble, 2015; Zou et al., 2019). Convolutional neural networks (CNNs) extract local features effectively, and architectures from LeNet and AlexNet to ResNet and Squeeze-and-Excitation Networks have successively improved capacity and generalization (He et al., 2016; Hu et al., 2018; Krizhevsky et al., 2012; LeCun et al., 1998); U-Net-style encoder-decoders are widely used in biomedical imaging (Ronneberger et al., 2015). Transformer and attention mechanisms further extend sequence and set modeling to multimodal scenarios (Vaswani et al., 2017). For sequence-like biological data, hybrid dilated, gated, and depthwise-separable convolutions have been used for single-base-resolution nucleosome-occupancy prediction, showing that data-scale- and receptive-field-matched convolution modules improve sequence modeling (Shi et al., 2026). However, deep models are parameter-rich and data-hungry, and without a suitable input representation and strict leakage control they overfit on small-sample omics tasks.</w:t>
      </w:r>
    </w:p>
    <w:p>
      <w:pPr>
        <w:spacing w:after="120" w:line="240" w:lineRule="auto"/>
        <w:ind w:firstLine="0"/>
        <w:jc w:val="both"/>
      </w:pPr>
      <w:r>
        <w:rPr>
          <w:rFonts w:ascii="Times New Roman" w:hAnsi="Times New Roman" w:eastAsia="宋体" w:cs="Times New Roman"/>
          <w:b w:val="0"/>
          <w:sz w:val="22"/>
        </w:rPr>
        <w:t>Imaging tabular omics data is an important bridge between CNNs and high-dimensional molecular features. DeepInsight maps non-image data onto a two-dimensional canvas so that a CNN can process gene-expression tables (Sharma et al., 2019); DeepInsight-3D extends this idea to multi-omics drug-response prediction (Sharma et al., 2023). Recent work also uses transcriptomic feature maps for cancer-type and survival prediction (Yan et al., 2025). These studies show that, with a reasonable feature-mapping scheme, imaging can preserve raw values while introducing a spatial inductive bias; however, molecular features usually lack a pixel-like natural adjacency, so the ordering and filling scheme directly determine the biological meaning of each two-dimensional position.</w:t>
      </w:r>
    </w:p>
    <w:p>
      <w:pPr>
        <w:spacing w:after="120" w:line="240" w:lineRule="auto"/>
        <w:ind w:firstLine="0"/>
        <w:jc w:val="both"/>
      </w:pPr>
      <w:r>
        <w:rPr>
          <w:rFonts w:ascii="Times New Roman" w:hAnsi="Times New Roman" w:eastAsia="宋体" w:cs="Times New Roman"/>
          <w:b w:val="0"/>
          <w:sz w:val="22"/>
        </w:rPr>
        <w:t>Survival analysis is central to clinical prognostic modeling. The Cox proportional-hazards model provides a semiparametric risk framework (Cox, 1972), the C-index is a common measure of risk-ranking concordance (Harrell et al., 1982), and the Uno C-statistic further accounts for censoring and overall risk-prediction adequacy (Uno et al., 2011). Random survival forests and DeepSurv extend ensemble learning and deep networks to survival data (Ishwaran et al., 2008; Katzman et al., 2018), and decision-level multi-omics fusion has been used for breast-cancer overall-survival prediction (Mitchel et al., 2019).</w:t>
      </w:r>
    </w:p>
    <w:p>
      <w:pPr>
        <w:spacing w:after="120" w:line="240" w:lineRule="auto"/>
        <w:ind w:firstLine="0"/>
        <w:jc w:val="both"/>
      </w:pPr>
      <w:r>
        <w:rPr>
          <w:rFonts w:ascii="Times New Roman" w:hAnsi="Times New Roman" w:eastAsia="宋体" w:cs="Times New Roman"/>
          <w:b w:val="0"/>
          <w:sz w:val="22"/>
        </w:rPr>
        <w:t>Multi-omics fusion strategies have progressed from early feature concatenation, decision-level fusion, and stacking toward attention-based, low-rank bilinear, and graph-neural-network deep integration (Cantini et al., 2021; Mitchel et al., 2019; Subramanian et al., 2020). Generative adversarial networks (GANs) and their Wasserstein variants offer conditional augmentation for small-sample omics data, but test-set information leakage must be strictly controlled (Arjovsky et al., 2017; Goodfellow et al., 2014; Gulrajani et al., 2017). A systematic comparison of how these fusion and augmentation strategies preserve sample alignment, feature-scale consistency, and model interpretability is still lacking.</w:t>
      </w:r>
    </w:p>
    <w:p>
      <w:pPr>
        <w:spacing w:after="120" w:line="240" w:lineRule="auto"/>
        <w:ind w:firstLine="0"/>
        <w:jc w:val="both"/>
      </w:pPr>
      <w:r>
        <w:rPr>
          <w:rFonts w:ascii="Times New Roman" w:hAnsi="Times New Roman" w:eastAsia="宋体" w:cs="Times New Roman"/>
          <w:b w:val="0"/>
          <w:sz w:val="22"/>
        </w:rPr>
        <w:t>Interpretability is a prerequisite for translating omics predictors into clinical practice. Saliency maps, Grad-CAM, LIME, and SHAP explain model outputs from gradient, local-perturbation, or game-theoretic perspectives (Lundberg and Lee, 2017; Ribeiro et al., 2016; Selvaraju et al., 2017; Simonyan et al., 2014). For image-based omics models, interpretability requires not only listing important genes but also mapping attended pixels back to the corresponding biological features, which further highlights the importance of the imaging ordering scheme.</w:t>
      </w:r>
    </w:p>
    <w:p>
      <w:pPr>
        <w:spacing w:after="120" w:line="240" w:lineRule="auto"/>
        <w:ind w:firstLine="0"/>
        <w:jc w:val="both"/>
      </w:pPr>
      <w:r>
        <w:rPr>
          <w:rFonts w:ascii="Times New Roman" w:hAnsi="Times New Roman" w:eastAsia="宋体" w:cs="Times New Roman"/>
          <w:b w:val="0"/>
          <w:sz w:val="22"/>
        </w:rPr>
        <w:t>To address these issues, we propose a Jensen-Shannon-divergence (JSD)-guided omics imaging framework. We first score the discriminative importance of each gene or probe with respect to the outcome classes, then fill the image by center-outward spiral ordering in descending JSD so that high-importance features are placed centrally. A full-size convolutional network (FullSizeCNN) serves as the imaging baseline and is compared with classical machine-learning models, an MLP, and classical CNN structures. The scheme retains the raw expression values while explicitly encoding discriminative importance in two dimensions, facilitating downstream key-factor localization.</w:t>
      </w:r>
    </w:p>
    <w:p>
      <w:pPr>
        <w:spacing w:after="120" w:line="240" w:lineRule="auto"/>
        <w:ind w:firstLine="0"/>
        <w:jc w:val="both"/>
      </w:pPr>
      <w:r>
        <w:rPr>
          <w:rFonts w:ascii="Times New Roman" w:hAnsi="Times New Roman" w:eastAsia="宋体" w:cs="Times New Roman"/>
          <w:b w:val="0"/>
          <w:sz w:val="22"/>
        </w:rPr>
        <w:t>We pose three research questions: (1) does JSD-guided spatial ordering produce a detectable predictive gain over random or expression-based ordering, and is its main value interpretability rather than performance; (2) can FullSizeCNN reach competitive performance against classical machine learning on small-sample omics tasks, with a dense-equivalent baseline separating the contribution of image structure from the raw feature values; and (3) does multi-omics fusion on a unified sample set provide a reproducible gain over the best single omics?</w:t>
      </w:r>
    </w:p>
    <w:p>
      <w:pPr>
        <w:spacing w:after="120" w:line="240" w:lineRule="auto"/>
        <w:ind w:firstLine="0"/>
        <w:jc w:val="both"/>
      </w:pPr>
      <w:r>
        <w:rPr>
          <w:rFonts w:ascii="Times New Roman" w:hAnsi="Times New Roman" w:eastAsia="宋体" w:cs="Times New Roman"/>
          <w:b w:val="0"/>
          <w:sz w:val="22"/>
        </w:rPr>
        <w:t>The contributions are: a JSD-guided center-spiral omics imaging framework; a systematic comparison of classical machine learning, MLP, FullSizeCNN, and multiple multi-omics fusion strategies; mean and standard deviation under strict five-fold cross-validation; key-factor visualization with SHAP, CNN saliency, and gene functional-category maps; and a scheme-2 functional-category masking experiment with equal-size random-masking controls to assess the contribution of each functional module to PAM50 classification and survival-risk modeling. Finally, we include an exploratory analysis of Hypoxia, ROS, OXPHOS, UPR, mTORC1, Glycolysis, EMT, and DNA-repair pathways to examine whether image-based key factors map onto tumor stress-adaptive programs.</w:t>
      </w:r>
    </w:p>
    <w:p>
      <w:pPr>
        <w:pStyle w:val="Heading1"/>
        <w:spacing w:before="320" w:after="140" w:line="240" w:lineRule="auto"/>
        <w:ind w:firstLine="0"/>
        <w:jc w:val="left"/>
      </w:pPr>
      <w:r>
        <w:rPr>
          <w:rFonts w:ascii="Times New Roman" w:hAnsi="Times New Roman" w:eastAsia="宋体" w:cs="Times New Roman"/>
          <w:b/>
          <w:color w:val="0B2545"/>
          <w:sz w:val="32"/>
        </w:rPr>
        <w:t>Materials and Methods</w:t>
      </w:r>
    </w:p>
    <w:p>
      <w:pPr>
        <w:spacing w:after="120" w:line="240" w:lineRule="auto"/>
        <w:ind w:firstLine="0"/>
        <w:jc w:val="both"/>
      </w:pPr>
      <w:r>
        <w:rPr>
          <w:rFonts w:ascii="Times New Roman" w:hAnsi="Times New Roman" w:eastAsia="宋体" w:cs="Times New Roman"/>
          <w:b w:val="0"/>
          <w:sz w:val="22"/>
        </w:rPr>
        <w:t>This section gives only the core methods and parameters. Figure 1 shows the overall technical route and Table 1 summarizes sample sizes; the sample-level manifest is in Supplementary Table S1, feature-selection combinations in Table S2, and final feature counts in Table S3. Full single-omics results are in Table S4, intersection single-omics baselines in Table S5, triple-omics fusion in Table S6, pairwise fusion in Table S7, and stacking/complex methods in Tables S8-S9. Fusion statistical tests are in Table S10, imaging-structure comparisons in Tables S11-S13, the dense-equivalent baseline in Table S14 and Figure S3, and the random-permutation control in Table S15 and Figure S4. Interpretability figures are in Figures S5-S13, masking analyses in Tables S16-S21, the stress-pathway analysis in Table S22 and Figure S14, PAM50 50-gene exclusion in Table S23 and Figure S15, leak-free nested cross-validation in Table S24, strict PAM50 exclusion in Table S25, FullSizeCNN-Cox in Table S26, effect sizes in Table S27, method comparison in Table S28, METABRIC external validation in Table S29, gene-interaction analysis in S22, and community reordering in Table S30.</w:t>
      </w:r>
    </w:p>
    <w:p>
      <w:pPr>
        <w:keepNext/>
        <w:spacing w:before="100" w:after="20" w:line="240" w:lineRule="auto"/>
        <w:ind w:firstLine="0"/>
        <w:jc w:val="center"/>
      </w:pPr>
      <w:r>
        <w:drawing>
          <wp:inline xmlns:a="http://schemas.openxmlformats.org/drawingml/2006/main" xmlns:pic="http://schemas.openxmlformats.org/drawingml/2006/picture">
            <wp:extent cx="6217920" cy="2851530"/>
            <wp:docPr id="1" name="Picture 1"/>
            <wp:cNvGraphicFramePr>
              <a:graphicFrameLocks noChangeAspect="1"/>
            </wp:cNvGraphicFramePr>
            <a:graphic>
              <a:graphicData uri="http://schemas.openxmlformats.org/drawingml/2006/picture">
                <pic:pic>
                  <pic:nvPicPr>
                    <pic:cNvPr id="0" name="fig1_route_v25.png"/>
                    <pic:cNvPicPr/>
                  </pic:nvPicPr>
                  <pic:blipFill>
                    <a:blip r:embed="rId10"/>
                    <a:stretch>
                      <a:fillRect/>
                    </a:stretch>
                  </pic:blipFill>
                  <pic:spPr>
                    <a:xfrm>
                      <a:off x="0" y="0"/>
                      <a:ext cx="6217920" cy="2851530"/>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1. Overall technical route. The three phases are data preparation, feature engineering, and modeling/fusion/evaluation; SHAP, Grad-CAM/saliency, and functional masking are used as downstream interpretability modules.</w:t>
      </w:r>
    </w:p>
    <w:p>
      <w:pPr>
        <w:pStyle w:val="Heading2"/>
        <w:spacing w:before="240" w:after="100" w:line="240" w:lineRule="auto"/>
        <w:ind w:firstLine="0"/>
        <w:jc w:val="left"/>
      </w:pPr>
      <w:r>
        <w:rPr>
          <w:rFonts w:ascii="Times New Roman" w:hAnsi="Times New Roman" w:eastAsia="宋体" w:cs="Times New Roman"/>
          <w:b/>
          <w:color w:val="0B2545"/>
          <w:sz w:val="26"/>
        </w:rPr>
        <w:t>Data sources and sample alignment</w:t>
      </w:r>
    </w:p>
    <w:p>
      <w:pPr>
        <w:spacing w:after="120" w:line="240" w:lineRule="auto"/>
        <w:ind w:firstLine="0"/>
        <w:jc w:val="both"/>
      </w:pPr>
      <w:r>
        <w:rPr>
          <w:rFonts w:ascii="Times New Roman" w:hAnsi="Times New Roman" w:eastAsia="宋体" w:cs="Times New Roman"/>
          <w:b w:val="0"/>
          <w:sz w:val="22"/>
        </w:rPr>
        <w:t>We used public TCGA-BRCA data from the Genomic Data Commons (GDC) and UCSC Xena. mRNA was the TCGA BRCA HiSeqV2 log2(RSEM+1) gene-expression matrix, CNV was rebuilt from GDC Gene Level Copy Number files (ASCAT2, ASCAT3, and ABSOLUTE LiftOver), with integer copy number discretized to GISTIC2-like values (0→-2, 1→-1, 2→0, 3→+1, ≥4→+2; missing→0), and miRNA was the miRNA expression matrix. Clinical labels included PAM50 subtype, vital status, and survival time. Primary tumor samples were selected by TCGA patient barcode, the three omics were intersected, and the -01 primary tumor sample was preferred per case. All data are public and de-identified, so no new patient sampling was involved; per-omics and intersection sample sizes are in Supplementary Table S1.</w:t>
      </w:r>
    </w:p>
    <w:p>
      <w:pPr>
        <w:spacing w:after="120" w:line="240" w:lineRule="auto"/>
        <w:ind w:firstLine="0"/>
        <w:jc w:val="both"/>
      </w:pPr>
      <w:r>
        <w:rPr>
          <w:rFonts w:ascii="Times New Roman" w:hAnsi="Times New Roman" w:eastAsia="宋体" w:cs="Times New Roman"/>
          <w:b w:val="0"/>
          <w:sz w:val="22"/>
        </w:rPr>
        <w:t>After excluding Normal-like, the PAM50 task retained four main subtypes with 832 mRNA, 826 CNV, and 492 miRNA samples, and a 486-sample triple-omics intersection. The survival task had 1072 mRNA, 1067 CNV, and 734 miRNA samples, with a 725-sample triple-omics intersection. Pairwise intersections were: PAM50 mRNA∩CNV 825, mRNA∩miRNA 492, CNV∩miRNA 486; survival mRNA∩CNV 1064, mRNA∩miRNA 732, CNV∩miRNA 727.</w:t>
      </w:r>
    </w:p>
    <w:p>
      <w:pPr>
        <w:spacing w:before="80" w:after="80" w:line="240" w:lineRule="auto"/>
        <w:ind w:firstLine="0"/>
        <w:jc w:val="center"/>
      </w:pPr>
      <w:r>
        <w:rPr>
          <w:rFonts w:ascii="Times New Roman" w:hAnsi="Times New Roman" w:eastAsia="宋体" w:cs="Times New Roman"/>
          <w:b/>
          <w:color w:val="1F4D78"/>
          <w:sz w:val="19"/>
        </w:rPr>
        <w:t>Table 1. Sample sizes by omics and triple-omics intersection</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259"/>
        <w:gridCol w:w="1614"/>
        <w:gridCol w:w="1614"/>
        <w:gridCol w:w="1614"/>
        <w:gridCol w:w="2259"/>
      </w:tblGrid>
      <w:tr>
        <w:trPr/>
        <w:tc>
          <w:tcPr>
            <w:tcW w:type="dxa" w:w="225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mRNA</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CNV</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miRNA</w:t>
            </w:r>
          </w:p>
        </w:tc>
        <w:tc>
          <w:tcPr>
            <w:tcW w:type="dxa" w:w="225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Triple-omics intersection</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r>
              <w:t>832</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r>
              <w:t>826</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r>
              <w:t>492</w:t>
            </w:r>
          </w:p>
        </w:tc>
        <w:tc>
          <w:tcPr>
            <w:tcW w:type="dxa" w:w="2259"/>
            <w:vAlign w:val="center"/>
            <w:tcMar>
              <w:top w:w="80" w:type="dxa"/>
              <w:bottom w:w="80" w:type="dxa"/>
              <w:start w:w="120" w:type="dxa"/>
              <w:end w:w="120" w:type="dxa"/>
            </w:tcMar>
            <w:tcBorders>
              <w:top w:val="none"/>
              <w:bottom w:val="none"/>
              <w:left w:val="none"/>
              <w:right w:val="none"/>
              <w:insideH w:val="none"/>
              <w:insideV w:val="none"/>
            </w:tcBorders>
          </w:tcPr>
          <w:p>
            <w:r>
              <w:t>486</w:t>
            </w:r>
          </w:p>
        </w:tc>
      </w:tr>
      <w:tr>
        <w:trPr/>
        <w:tc>
          <w:tcPr>
            <w:tcW w:type="dxa" w:w="225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1072</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1067</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734</w:t>
            </w:r>
          </w:p>
        </w:tc>
        <w:tc>
          <w:tcPr>
            <w:tcW w:type="dxa" w:w="2259"/>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725</w:t>
            </w:r>
          </w:p>
        </w:tc>
      </w:tr>
    </w:tbl>
    <w:p>
      <w:pPr>
        <w:spacing w:after="20" w:before="0" w:line="240" w:lineRule="auto"/>
        <w:ind w:firstLine="0"/>
      </w:pPr>
      <w:r>
        <w:rPr>
          <w:rFonts w:ascii="Times New Roman" w:hAnsi="Times New Roman" w:eastAsia="宋体" w:cs="Times New Roman"/>
          <w:sz w:val="4"/>
        </w:rPr>
      </w:r>
    </w:p>
    <w:p>
      <w:pPr>
        <w:pStyle w:val="Heading2"/>
        <w:spacing w:before="240" w:after="100" w:line="240" w:lineRule="auto"/>
        <w:ind w:firstLine="0"/>
        <w:jc w:val="left"/>
      </w:pPr>
      <w:r>
        <w:rPr>
          <w:rFonts w:ascii="Times New Roman" w:hAnsi="Times New Roman" w:eastAsia="宋体" w:cs="Times New Roman"/>
          <w:b/>
          <w:color w:val="0B2545"/>
          <w:sz w:val="26"/>
        </w:rPr>
        <w:t>Label definition</w:t>
      </w:r>
    </w:p>
    <w:p>
      <w:pPr>
        <w:spacing w:after="120" w:line="240" w:lineRule="auto"/>
        <w:ind w:firstLine="0"/>
        <w:jc w:val="both"/>
      </w:pPr>
      <w:r>
        <w:rPr>
          <w:rFonts w:ascii="Times New Roman" w:hAnsi="Times New Roman" w:eastAsia="宋体" w:cs="Times New Roman"/>
          <w:b w:val="0"/>
          <w:sz w:val="22"/>
        </w:rPr>
        <w:t>PAM50 molecular subtype is a four-class label (Luminal A, Luminal B, Basal-like, HER2-enriched). For survival, the OS event is a binary label (1 = death, 0 = censored) and the time from diagnosis to death or last follow-up is used as the survival time. Because death events are a minority, the survival task is class-imbalanced. Across the 1,075-patient survival cohort, 149 deaths were observed (13.9% event rate) with a median follow-up of 860 days (2.35 years); median follow-up was 1,174 days for events and 773 days for censored patients.</w:t>
      </w:r>
    </w:p>
    <w:p>
      <w:pPr>
        <w:spacing w:after="120" w:line="240" w:lineRule="auto"/>
        <w:ind w:firstLine="0"/>
        <w:jc w:val="both"/>
      </w:pPr>
      <w:r>
        <w:rPr>
          <w:rFonts w:ascii="Times New Roman" w:hAnsi="Times New Roman" w:eastAsia="宋体" w:cs="Times New Roman"/>
          <w:b w:val="0"/>
          <w:sz w:val="22"/>
        </w:rPr>
        <w:t>Except for CoxPH and DeepSurv, which are time-to-event models, all other models (LogisticRegression, SVC, RandomForest, MLP, FullSizeCNN, etc.) fit the OS event with binary cross-entropy and are therefore mortality-status classifiers; their output is used as a continuous risk score and combined with survival time to compute the C-index for survival-ranking evaluation. Hence, our 'survival-risk modeling' is not equivalent to strict hazard-rate modeling.</w:t>
      </w:r>
    </w:p>
    <w:p>
      <w:pPr>
        <w:pStyle w:val="Heading2"/>
        <w:spacing w:before="240" w:after="100" w:line="240" w:lineRule="auto"/>
        <w:ind w:firstLine="0"/>
        <w:jc w:val="left"/>
      </w:pPr>
      <w:r>
        <w:rPr>
          <w:rFonts w:ascii="Times New Roman" w:hAnsi="Times New Roman" w:eastAsia="宋体" w:cs="Times New Roman"/>
          <w:b/>
          <w:color w:val="0B2545"/>
          <w:sz w:val="26"/>
        </w:rPr>
        <w:t>Feature selection and JSD</w:t>
      </w:r>
    </w:p>
    <w:p>
      <w:pPr>
        <w:spacing w:after="120" w:line="240" w:lineRule="auto"/>
        <w:ind w:firstLine="0"/>
        <w:jc w:val="both"/>
      </w:pPr>
      <w:r>
        <w:rPr>
          <w:rFonts w:ascii="Times New Roman" w:hAnsi="Times New Roman" w:eastAsia="宋体" w:cs="Times New Roman"/>
          <w:b w:val="0"/>
          <w:sz w:val="22"/>
        </w:rPr>
        <w:t>The primary analyses used leak-free five-fold cross-validation, with feature selection, scaling, JSD ordering, and image generation performed inside each training fold. An earlier cohort-level exploratory pipeline that pre-selected features and ordered images on the full cohort is retained for historical comparison only and is not used for the primary performance claims. Base feature-selection methods were low-variance filtering, ANOVA F, L1-regularized linear SVM, and Jensen-Shannon divergence (JSD) (Lin, 1991). JSD compares binned histograms of a feature across classes and computes the symmetric information divergence between two discrete distributions. Leak-free nested repeated cross-validation (Supplementary Table S24) and strict PAM50-exclusion analyses (Supplementary Table S25) provide additional unbiased estimates.</w:t>
      </w:r>
    </w:p>
    <w:p>
      <w:pPr>
        <w:spacing w:after="120" w:line="240" w:lineRule="auto"/>
        <w:ind w:firstLine="0"/>
        <w:jc w:val="both"/>
      </w:pPr>
      <w:r>
        <w:rPr>
          <w:rFonts w:ascii="Times New Roman" w:hAnsi="Times New Roman" w:eastAsia="宋体" w:cs="Times New Roman"/>
          <w:b w:val="0"/>
          <w:sz w:val="22"/>
        </w:rPr>
        <w:t>Low-variance filtering first removes near-constant features; ANOVA F compares class means for continuous features; L1-regularized linear SVM feature selection uses the sparse coefficients of LinearSVC(penalty='l1', dual=False, C=0.1, max_iter=5000). Feature-selection combinations are listed in Supplementary Table S2.</w:t>
      </w:r>
    </w:p>
    <w:p>
      <w:pPr>
        <w:tabs>
          <w:tab w:pos="9216" w:val="right"/>
        </w:tabs>
        <w:spacing w:before="80" w:after="120" w:line="240" w:lineRule="auto"/>
        <w:ind w:firstLine="0"/>
        <w:jc w:val="center"/>
      </w:pPr>
      <w:r>
        <w:rPr>
          <w:rFonts w:ascii="Cambria Math" w:hAnsi="Cambria Math" w:eastAsia="宋体" w:cs="Cambria Math"/>
          <w:sz w:val="21"/>
        </w:rPr>
        <w:t>Var(x_j) = (1/N) ∑_i (x_ij - x̄_j)²;  F_j = MS_between / MS_within</w:t>
        <w:tab/>
        <w:t>(1)</w:t>
      </w:r>
    </w:p>
    <w:p>
      <w:pPr>
        <w:spacing w:after="120" w:line="240" w:lineRule="auto"/>
        <w:ind w:firstLine="0"/>
        <w:jc w:val="both"/>
      </w:pPr>
      <w:r>
        <w:rPr>
          <w:rFonts w:ascii="Times New Roman" w:hAnsi="Times New Roman" w:eastAsia="宋体" w:cs="Times New Roman"/>
          <w:b w:val="0"/>
          <w:sz w:val="22"/>
        </w:rPr>
        <w:t>JSD is defined for the class histograms P and Q as D_JSD(P||Q) = 0.5 ∑_x [ P(x) log_2( 2P(x) / (P(x)+Q(x)) ) + Q(x) log_2( 2Q(x) / (P(x)+Q(x)) ) ]. Binary tasks compute the two-class JSD directly. For multi-class tasks the strategy is omics-specific: PAM50 mRNA and survival use average pairwise JSD, PAM50 CNV uses one-vs-rest max JSD, and PAM50 miRNA uses pairwise JSD coarse screening followed by L1 refinement. A small constant ε is added to histograms before probability normalization for numerical stability.</w:t>
      </w:r>
    </w:p>
    <w:p>
      <w:pPr>
        <w:tabs>
          <w:tab w:pos="9216" w:val="right"/>
        </w:tabs>
        <w:spacing w:before="80" w:after="120" w:line="240" w:lineRule="auto"/>
        <w:ind w:firstLine="0"/>
        <w:jc w:val="center"/>
      </w:pPr>
      <w:r>
        <w:rPr>
          <w:rFonts w:ascii="Cambria Math" w:hAnsi="Cambria Math" w:eastAsia="宋体" w:cs="Cambria Math"/>
          <w:sz w:val="21"/>
        </w:rPr>
        <w:t>D_JSD(P||Q) = 0.5 ∑_x [ P(x) log_2( 2P(x) / (P(x)+Q(x)) ) + Q(x) log_2( 2Q(x) / (P(x)+Q(x)) ) ]</w:t>
        <w:tab/>
        <w:t>(2)</w:t>
      </w:r>
    </w:p>
    <w:p>
      <w:pPr>
        <w:spacing w:after="120" w:line="240" w:lineRule="auto"/>
        <w:ind w:firstLine="0"/>
        <w:jc w:val="both"/>
      </w:pPr>
      <w:r>
        <w:rPr>
          <w:rFonts w:ascii="Times New Roman" w:hAnsi="Times New Roman" w:eastAsia="宋体" w:cs="Times New Roman"/>
          <w:b w:val="0"/>
          <w:sz w:val="22"/>
        </w:rPr>
        <w:t>Feature counts were compared at base values 200/50/200 and 2x, 3x, 4x, and 5x expansion. The final PAM50 feature counts were mRNA 400, CNV 50, and miRNA 600; the survival counts were mRNA 200, CNV 150, and miRNA 600. When Accuracy/Macro-F1 or ROC AUC/C-index was near-optimal, we preferred the more efficient and stable feature count; final counts and image sizes are in Table 2, with detail in Supplementary Table S3.</w:t>
      </w:r>
    </w:p>
    <w:p>
      <w:pPr>
        <w:spacing w:after="120" w:line="240" w:lineRule="auto"/>
        <w:ind w:firstLine="0"/>
        <w:jc w:val="both"/>
      </w:pPr>
      <w:r>
        <w:rPr>
          <w:rFonts w:ascii="Times New Roman" w:hAnsi="Times New Roman" w:eastAsia="宋体" w:cs="Times New Roman"/>
          <w:b w:val="0"/>
          <w:sz w:val="22"/>
        </w:rPr>
        <w:t>Because the main analysis selected feature numbers and evaluated final performance using the same five-fold cross-validation, the reported Accuracy, Macro-F1, ROC AUC, and C-index are exploratory cross-validation estimates and may carry feature-number selection bias. To quantify this, we ran leak-free nested repeated CV for the key mRNA PAM50 models: outer 5-fold x 5 repeats, inner 3-fold feature-number selection from {200, 400} with V_L1, and JSD ordering only within the training fold; see Supplementary Table S24.</w:t>
      </w:r>
    </w:p>
    <w:p>
      <w:pPr>
        <w:pStyle w:val="Heading2"/>
        <w:spacing w:before="240" w:after="100" w:line="240" w:lineRule="auto"/>
        <w:ind w:firstLine="0"/>
        <w:jc w:val="left"/>
      </w:pPr>
      <w:r>
        <w:rPr>
          <w:rFonts w:ascii="Times New Roman" w:hAnsi="Times New Roman" w:eastAsia="宋体" w:cs="Times New Roman"/>
          <w:b/>
          <w:color w:val="0B2545"/>
          <w:sz w:val="26"/>
        </w:rPr>
        <w:t>Omics imaging</w:t>
      </w:r>
    </w:p>
    <w:p>
      <w:pPr>
        <w:spacing w:after="120" w:line="240" w:lineRule="auto"/>
        <w:ind w:firstLine="0"/>
        <w:jc w:val="both"/>
      </w:pPr>
      <w:r>
        <w:rPr>
          <w:rFonts w:ascii="Times New Roman" w:hAnsi="Times New Roman" w:eastAsia="宋体" w:cs="Times New Roman"/>
          <w:b w:val="0"/>
          <w:sz w:val="22"/>
        </w:rPr>
        <w:t>For each task and omics, we computed per-feature JSD scores and sorted them in descending order, then filled a square grid by center-outward spiral ordering so that the highest-importance features occupy the center and the next-highest follow the spiral outward. Positions beyond the feature count were zero-padded. The image is a single-channel grayscale map whose pixel values are the corresponding omics feature values; standardization parameters were estimated only on the training fold and applied to both training and test folds. Final image sizes were PAM50 mRNA 20x20, CNV 8x8, miRNA 25x25, and survival mRNA 15x15, CNV 13x13, miRNA 25x25.</w:t>
      </w:r>
    </w:p>
    <w:p>
      <w:pPr>
        <w:spacing w:after="120" w:line="240" w:lineRule="auto"/>
        <w:ind w:firstLine="0"/>
        <w:jc w:val="both"/>
      </w:pPr>
      <w:r>
        <w:rPr>
          <w:rFonts w:ascii="Times New Roman" w:hAnsi="Times New Roman" w:eastAsia="宋体" w:cs="Times New Roman"/>
          <w:b w:val="0"/>
          <w:sz w:val="22"/>
        </w:rPr>
        <w:t>To improve the biological meaning of pixel adjacency, scheme 2 first groups features by functional category, sorts within each block by descending JSD, and fills blocks by their mean JSD from the center outward. mRNA and CNV categories came from gene functional annotations; miRNA was mapped by MIMAT to hsa-miR names and then assigned by family or known function. This yields a functional-category map aligned pixel-wise with the expression and JSD maps. The complete feature-to-category mapping, including source database identifiers (gene symbol, MIMAT, and category rules), is provided in the machine-readable file omics_functional_category_annotation.tsv, and CNV/miRNA categories are treated as heuristic annotations rather than mutually exclusive biological ontologies. In masking experiments, the target category pixels were set to zero, FullSizeCNN was retrained, and performance was compared with the unmasked baseline and equal-size random-gene masks.</w:t>
      </w:r>
    </w:p>
    <w:p>
      <w:pPr>
        <w:spacing w:before="80" w:after="80" w:line="240" w:lineRule="auto"/>
        <w:ind w:firstLine="0"/>
        <w:jc w:val="center"/>
      </w:pPr>
      <w:r>
        <w:rPr>
          <w:rFonts w:ascii="Times New Roman" w:hAnsi="Times New Roman" w:eastAsia="宋体" w:cs="Times New Roman"/>
          <w:b/>
          <w:color w:val="1F4D78"/>
          <w:sz w:val="19"/>
        </w:rPr>
        <w:t>Table 2. Final feature counts and JSD image sizes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080"/>
        <w:gridCol w:w="1664"/>
        <w:gridCol w:w="1872"/>
        <w:gridCol w:w="2080"/>
        <w:gridCol w:w="1664"/>
      </w:tblGrid>
      <w:tr>
        <w:trPr/>
        <w:tc>
          <w:tcPr>
            <w:tcW w:type="dxa" w:w="208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66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Omics</w:t>
            </w:r>
          </w:p>
        </w:tc>
        <w:tc>
          <w:tcPr>
            <w:tcW w:type="dxa" w:w="187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Final features</w:t>
            </w:r>
          </w:p>
        </w:tc>
        <w:tc>
          <w:tcPr>
            <w:tcW w:type="dxa" w:w="208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Image size</w:t>
            </w:r>
          </w:p>
        </w:tc>
        <w:tc>
          <w:tcPr>
            <w:tcW w:type="dxa" w:w="166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Zero-padded positions</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20×20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50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8×8</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14</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25×25</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15×15</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13×13</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19</w:t>
            </w:r>
          </w:p>
        </w:tc>
      </w:tr>
      <w:tr>
        <w:trPr/>
        <w:tc>
          <w:tcPr>
            <w:tcW w:type="dxa" w:w="208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87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600</w:t>
            </w:r>
          </w:p>
        </w:tc>
        <w:tc>
          <w:tcPr>
            <w:tcW w:type="dxa" w:w="208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25×25</w:t>
            </w:r>
          </w:p>
        </w:tc>
        <w:tc>
          <w:tcPr>
            <w:tcW w:type="dxa" w:w="166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25</w:t>
            </w:r>
          </w:p>
        </w:tc>
      </w:tr>
    </w:tbl>
    <w:p>
      <w:pPr>
        <w:spacing w:after="20" w:before="0" w:line="240" w:lineRule="auto"/>
        <w:ind w:firstLine="0"/>
      </w:pPr>
      <w:r>
        <w:rPr>
          <w:rFonts w:ascii="Times New Roman" w:hAnsi="Times New Roman" w:eastAsia="宋体" w:cs="Times New Roman"/>
          <w:sz w:val="4"/>
        </w:rPr>
      </w:r>
    </w:p>
    <w:p>
      <w:pPr>
        <w:pStyle w:val="Heading2"/>
        <w:spacing w:before="240" w:after="100" w:line="240" w:lineRule="auto"/>
        <w:ind w:firstLine="0"/>
        <w:jc w:val="left"/>
      </w:pPr>
      <w:r>
        <w:rPr>
          <w:rFonts w:ascii="Times New Roman" w:hAnsi="Times New Roman" w:eastAsia="宋体" w:cs="Times New Roman"/>
          <w:b/>
          <w:color w:val="0B2545"/>
          <w:sz w:val="26"/>
        </w:rPr>
        <w:t>Models</w:t>
      </w:r>
    </w:p>
    <w:p>
      <w:pPr>
        <w:spacing w:after="120" w:line="240" w:lineRule="auto"/>
        <w:ind w:firstLine="0"/>
        <w:jc w:val="both"/>
      </w:pPr>
      <w:r>
        <w:rPr>
          <w:rFonts w:ascii="Times New Roman" w:hAnsi="Times New Roman" w:eastAsia="宋体" w:cs="Times New Roman"/>
          <w:b w:val="0"/>
          <w:sz w:val="22"/>
        </w:rPr>
        <w:t>Classical baselines were LogisticRegression, RandomForest, GradientBoosting, linear SVC, KNN, and MLP, with CoxPH added for survival-risk modeling. LogisticRegression used L2 regularization with increased iterations; RandomForest used 200 trees; GradientBoosting used 100 rounds; SVC used a linear kernel; KNN used k=5; and MLP used 128-64 hidden units with dropout. CoxPH served as the conventional time-to-event comparator using a separately defined top-100 variance feature subset and a 0.1 penalty. For censoring-aware survival baselines, we additionally evaluated CoxNet (elastic-net-penalized Cox, l1_ratio=0.5) and random survival forest (200 trees) with the scikit-survival package (Pölsterl, 2020), and computed cumulative/dynamic time-dependent AUC.</w:t>
      </w:r>
    </w:p>
    <w:p>
      <w:pPr>
        <w:spacing w:after="120" w:line="240" w:lineRule="auto"/>
        <w:ind w:firstLine="0"/>
        <w:jc w:val="both"/>
      </w:pPr>
      <w:r>
        <w:rPr>
          <w:rFonts w:ascii="Times New Roman" w:hAnsi="Times New Roman" w:eastAsia="宋体" w:cs="Times New Roman"/>
          <w:b w:val="0"/>
          <w:sz w:val="22"/>
        </w:rPr>
        <w:t>MLP and FullSizeCNN used the Adam optimizer (lr=1e-3, weight_decay=1e-4), 30 epochs, and batch size 64. PAM50 used cross-entropy with four-class output; survival-risk modeling used binary cross-entropy with a death-risk output. StandardScaler parameters were estimated only on the training fold and reused for the test fold.</w:t>
      </w:r>
    </w:p>
    <w:p>
      <w:pPr>
        <w:spacing w:after="120" w:line="240" w:lineRule="auto"/>
        <w:ind w:firstLine="0"/>
        <w:jc w:val="both"/>
      </w:pPr>
      <w:r>
        <w:rPr>
          <w:rFonts w:ascii="Times New Roman" w:hAnsi="Times New Roman" w:eastAsia="宋体" w:cs="Times New Roman"/>
          <w:b w:val="0"/>
          <w:sz w:val="22"/>
        </w:rPr>
        <w:t>FullSizeCNN takes an HxWx1 image and uses a full-size HxW kernel with 32 filters to produce 32 1x1 feature maps, which are flattened to a 32-dimensional vector. Single-omics tasks feed this vector through a 64-unit fully connected layer with ReLU and dropout to the classification logits or survival risk. For multi-omics integration, the three 32-dimensional descriptors are concatenated to 96 dimensions, reweighted by a softmax gated attention to 32 dimensions, and passed through a 32-to-64 fully connected head; probability late-averaging is an alternative. Figure 2 shows the FullSizeCNN structure (A) and representative omics image examples (B). The full-size kernel is mathematically equivalent to a flattened linear projection, so we regard FullSizeCNN as a full-field convolutional network that retains an image-coordinate interface for attribution rather than a sliding local-feature extractor. As architecture and ordering ablations, alternative functional-reordering schemes, classical full-size convolutional structures, and WGAN-GP-based training-set augmentation were also evaluated (Supplementary Tables S11–S13 and Figures S1–S2).</w:t>
      </w:r>
    </w:p>
    <w:p>
      <w:pPr>
        <w:keepNext/>
        <w:spacing w:before="100" w:after="20" w:line="240" w:lineRule="auto"/>
        <w:ind w:firstLine="0"/>
        <w:jc w:val="center"/>
      </w:pPr>
      <w:r>
        <w:drawing>
          <wp:inline xmlns:a="http://schemas.openxmlformats.org/drawingml/2006/main" xmlns:pic="http://schemas.openxmlformats.org/drawingml/2006/picture">
            <wp:extent cx="5852160" cy="3704417"/>
            <wp:docPr id="2" name="Picture 2"/>
            <wp:cNvGraphicFramePr>
              <a:graphicFrameLocks noChangeAspect="1"/>
            </wp:cNvGraphicFramePr>
            <a:graphic>
              <a:graphicData uri="http://schemas.openxmlformats.org/drawingml/2006/picture">
                <pic:pic>
                  <pic:nvPicPr>
                    <pic:cNvPr id="0" name="fig2_method_image_representation.png"/>
                    <pic:cNvPicPr/>
                  </pic:nvPicPr>
                  <pic:blipFill>
                    <a:blip r:embed="rId11"/>
                    <a:stretch>
                      <a:fillRect/>
                    </a:stretch>
                  </pic:blipFill>
                  <pic:spPr>
                    <a:xfrm>
                      <a:off x="0" y="0"/>
                      <a:ext cx="5852160" cy="3704417"/>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2. Omics image representation and the multi-omics FullSizeCNN. A: three JSD-ordered grayscale maps (mRNA 20×20, CNV 8×8, miRNA 25×25) are processed by full-size H×W convolutions with 32 filters into 32 global descriptors, concatenated (96), reweighted by a gated attention (32), and passed through a 32→64 MLP head feeding PAM50 and survival outputs. B: representative omics images (B1–B3 grayscale expression maps for mRNA, CNV, and miRNA; B4 JSD importance map; B5 gene functional category map). High-JSD features are placed centrally; survival image sizes are 15×15 / 13×13 / 25×25.</w:t>
      </w:r>
    </w:p>
    <w:p>
      <w:pPr>
        <w:spacing w:after="120" w:line="240" w:lineRule="auto"/>
        <w:ind w:firstLine="0"/>
        <w:jc w:val="both"/>
      </w:pPr>
      <w:r>
        <w:rPr>
          <w:rFonts w:ascii="Times New Roman" w:hAnsi="Times New Roman" w:eastAsia="宋体" w:cs="Times New Roman"/>
          <w:b w:val="0"/>
          <w:sz w:val="22"/>
        </w:rPr>
        <w:t>Multi-omics integration used three strategy families: (1) feature-level concatenation followed by classical ML/MLP; (2) independent FullSizeCNN branches followed by concatenation, gated-attention fusion, or probability late-averaging; and (3) complex strategies including nine-model stacking, Transformer cross-omics attention, DeepSurv, low-rank bilinear fusion, graph neural networks, and multi-task learning.</w:t>
      </w:r>
    </w:p>
    <w:p>
      <w:pPr>
        <w:spacing w:after="120" w:line="240" w:lineRule="auto"/>
        <w:ind w:firstLine="0"/>
        <w:jc w:val="both"/>
      </w:pPr>
      <w:r>
        <w:rPr>
          <w:rFonts w:ascii="Times New Roman" w:hAnsi="Times New Roman" w:eastAsia="宋体" w:cs="Times New Roman"/>
          <w:b w:val="0"/>
          <w:sz w:val="22"/>
        </w:rPr>
        <w:t>Key complex-method hyperparameters were: Transformer d_model=32, nhead=4, layers=2, dim_feedforward=64, dropout=0.1, with each omics projected to a 32-dimensional token and mean-pooled; low-rank bilinear rank r=8 with projection dimension d=32; GNN built on absolute Pearson correlation, top-k=40 neighbors per node with self-loops and symmetric normalization, and a two-layer GCN (1→32→32); nine-model stacking generated out-of-fold base-model predictions by inner five-fold stratified CV with LogisticRegression (max_iter=3000) as the meta-learner; WGAN-GP used 64-dimensional noise and 16-dimensional class embeddings, three discriminator updates per iteration, and gradient-penalty λ_GP=10; DeepSurv used negative log partial likelihood. All deep models used Adam (lr=1e-3, weight_decay=1e-4), no early stopping, and 30 epochs.</w:t>
      </w:r>
    </w:p>
    <w:p>
      <w:pPr>
        <w:pStyle w:val="Heading2"/>
        <w:spacing w:before="240" w:after="100" w:line="240" w:lineRule="auto"/>
        <w:ind w:firstLine="0"/>
        <w:jc w:val="left"/>
      </w:pPr>
      <w:r>
        <w:rPr>
          <w:rFonts w:ascii="Times New Roman" w:hAnsi="Times New Roman" w:eastAsia="宋体" w:cs="Times New Roman"/>
          <w:b/>
          <w:color w:val="0B2545"/>
          <w:sz w:val="26"/>
        </w:rPr>
        <w:t>Evaluation and statistical tests</w:t>
      </w:r>
    </w:p>
    <w:p>
      <w:pPr>
        <w:spacing w:after="120" w:line="240" w:lineRule="auto"/>
        <w:ind w:firstLine="0"/>
        <w:jc w:val="both"/>
      </w:pPr>
      <w:r>
        <w:rPr>
          <w:rFonts w:ascii="Times New Roman" w:hAnsi="Times New Roman" w:eastAsia="宋体" w:cs="Times New Roman"/>
          <w:b w:val="0"/>
          <w:sz w:val="22"/>
        </w:rPr>
        <w:t>All models used five-fold cross-validation. Classification reported Accuracy and Macro-F1; survival reported ROC AUC and C-index. For LogisticRegression/RandomForest/SVC/KNN/MLP, predicted probability or decision function was used as the risk score; for CoxPH, the partial hazard was used. Paired t-tests and Wilcoxon signed-rank tests compared models on the same folds. All preprocessing, scaling, feature selection, and training were performed inside the training fold, and the test fold was used only for evaluation.</w:t>
      </w:r>
    </w:p>
    <w:p>
      <w:pPr>
        <w:spacing w:after="120" w:line="240" w:lineRule="auto"/>
        <w:ind w:firstLine="0"/>
        <w:jc w:val="both"/>
      </w:pPr>
      <w:r>
        <w:rPr>
          <w:rFonts w:ascii="Times New Roman" w:hAnsi="Times New Roman" w:eastAsia="宋体" w:cs="Times New Roman"/>
          <w:b w:val="0"/>
          <w:sz w:val="22"/>
        </w:rPr>
        <w:t>Accuracy is the proportion of correctly predicted samples; Macro-F1 averages per-class F1 arithmetically to reduce class-imbalance effects. ROC AUC uses the death-risk score as a continuous prediction against the binary event label. A larger risk score indicates higher death risk, and the C-index uses the negated risk score so that it measures the concordance between predicted risk ranking and true survival order.</w:t>
      </w:r>
    </w:p>
    <w:p>
      <w:pPr>
        <w:tabs>
          <w:tab w:pos="9216" w:val="right"/>
        </w:tabs>
        <w:spacing w:before="80" w:after="120" w:line="240" w:lineRule="auto"/>
        <w:ind w:firstLine="0"/>
        <w:jc w:val="center"/>
      </w:pPr>
      <w:r>
        <w:rPr>
          <w:rFonts w:ascii="Cambria Math" w:hAnsi="Cambria Math" w:eastAsia="宋体" w:cs="Cambria Math"/>
          <w:sz w:val="21"/>
        </w:rPr>
        <w:t>C-index = P( R(x_i) &gt; R(x_j) | T_i &lt; T_j, δ_i = 1 )</w:t>
        <w:tab/>
        <w:t>(3)</w:t>
      </w:r>
    </w:p>
    <w:p>
      <w:pPr>
        <w:spacing w:after="120" w:line="240" w:lineRule="auto"/>
        <w:ind w:firstLine="0"/>
        <w:jc w:val="both"/>
      </w:pPr>
      <w:r>
        <w:rPr>
          <w:rFonts w:ascii="Times New Roman" w:hAnsi="Times New Roman" w:eastAsia="宋体" w:cs="Times New Roman"/>
          <w:b w:val="0"/>
          <w:sz w:val="22"/>
        </w:rPr>
        <w:t>Statistical tests compare paired per-fold scores to reduce between-fold variation; paired t-test and Wilcoxon p-values are reported with a significance threshold of 0.05.</w:t>
      </w:r>
    </w:p>
    <w:p>
      <w:pPr>
        <w:spacing w:after="120" w:line="240" w:lineRule="auto"/>
        <w:ind w:firstLine="0"/>
        <w:jc w:val="both"/>
      </w:pPr>
      <w:r>
        <w:rPr>
          <w:rFonts w:ascii="Times New Roman" w:hAnsi="Times New Roman" w:eastAsia="宋体" w:cs="Times New Roman"/>
          <w:b w:val="0"/>
          <w:sz w:val="22"/>
        </w:rPr>
        <w:t>Analyses used Python 3.11: scikit-learn for classical machine learning and cross-validation, PyTorch for MLP/FullSizeCNN/deep fusion, lifelines for CoxPH and C-index, and SHAP plus gradient saliency for interpretability. The random seed was fixed to 42.</w:t>
      </w:r>
    </w:p>
    <w:p>
      <w:pPr>
        <w:spacing w:after="160" w:line="240" w:lineRule="auto"/>
        <w:ind w:firstLine="0"/>
        <w:jc w:val="both"/>
      </w:pPr>
      <w:r>
        <w:rPr>
          <w:rFonts w:ascii="Times New Roman" w:hAnsi="Times New Roman" w:eastAsia="宋体" w:cs="Times New Roman"/>
          <w:color w:val="555555"/>
          <w:sz w:val="18"/>
        </w:rPr>
        <w:t>Note: unless stated otherwise, all tables and figures report 5-fold cross-validation mean ± SD based on features selected within each training fold (leak-free) before cross-validation; the leak-free nested repeated CV (Supplementary Table S24) and strict PAM50-exclusion analysis (Supplementary Table S25) provide the unbiased estimates. PAM50 four-class classification reports Accuracy and Macro-F1; survival-risk modeling reports ROC AUC and Cox C-index. ROC AUC is computed from the predicted death-risk probability or risk score; C-index is computed with lifelines.utils.concordance_index from the same risk score, survival time, and event indicator.</w:t>
      </w:r>
    </w:p>
    <w:p>
      <w:pPr>
        <w:pStyle w:val="Heading2"/>
        <w:spacing w:before="240" w:after="100" w:line="240" w:lineRule="auto"/>
        <w:ind w:firstLine="0"/>
        <w:jc w:val="left"/>
      </w:pPr>
      <w:r>
        <w:rPr>
          <w:rFonts w:ascii="Times New Roman" w:hAnsi="Times New Roman" w:eastAsia="宋体" w:cs="Times New Roman"/>
          <w:b/>
          <w:color w:val="0B2545"/>
          <w:sz w:val="26"/>
        </w:rPr>
        <w:t>Gene interactions and network reordering</w:t>
      </w:r>
    </w:p>
    <w:p>
      <w:pPr>
        <w:spacing w:after="120" w:line="240" w:lineRule="auto"/>
        <w:ind w:firstLine="0"/>
        <w:jc w:val="both"/>
      </w:pPr>
      <w:r>
        <w:rPr>
          <w:rFonts w:ascii="Times New Roman" w:hAnsi="Times New Roman" w:eastAsia="宋体" w:cs="Times New Roman"/>
          <w:b w:val="0"/>
          <w:sz w:val="22"/>
        </w:rPr>
        <w:t>To examine whether gene-interaction structure can provide a more biologically meaningful spatial adjacency, we built three networks on the PAM50 intersection samples: an mRNA co-expression network, a consensus-gene STRING PPI network, and miRNA-mRNA negative and CNV-mRNA correlation networks. The mRNA co-expression network used Pearson correlation with an edge threshold |r|&gt;=0.75; this conservative threshold yields sparse communities, so the network should be read as high-confidence edges rather than a final biological module definition. PPI used STRING high-confidence edges (Szklarczyk et al., 2023), and cross-omics correlations used Spearman correlation keeping the strongest candidate edges. We then reordered mRNA features by co-expression communities into the same 20x20 image and compared FullSizeCNN under five-fold cross-validation.</w:t>
      </w:r>
    </w:p>
    <w:p>
      <w:pPr>
        <w:pStyle w:val="Heading1"/>
        <w:spacing w:before="320" w:after="140" w:line="240" w:lineRule="auto"/>
        <w:ind w:firstLine="0"/>
        <w:jc w:val="left"/>
      </w:pPr>
      <w:r>
        <w:rPr>
          <w:rFonts w:ascii="Times New Roman" w:hAnsi="Times New Roman" w:eastAsia="宋体" w:cs="Times New Roman"/>
          <w:b/>
          <w:color w:val="0B2545"/>
          <w:sz w:val="32"/>
        </w:rPr>
        <w:t>Results</w:t>
      </w:r>
    </w:p>
    <w:p>
      <w:pPr>
        <w:spacing w:after="120" w:line="240" w:lineRule="auto"/>
        <w:ind w:firstLine="0"/>
        <w:jc w:val="both"/>
      </w:pPr>
      <w:r>
        <w:rPr>
          <w:rFonts w:ascii="Times New Roman" w:hAnsi="Times New Roman" w:eastAsia="宋体" w:cs="Times New Roman"/>
          <w:b w:val="0"/>
          <w:sz w:val="22"/>
        </w:rPr>
        <w:t>The main text shows representative results; complete per-model, per-fold means and standard deviations are in Supplementary Tables S4-S30.</w:t>
      </w:r>
    </w:p>
    <w:p>
      <w:pPr>
        <w:pStyle w:val="Heading2"/>
        <w:spacing w:before="240" w:after="100" w:line="240" w:lineRule="auto"/>
        <w:ind w:firstLine="0"/>
        <w:jc w:val="left"/>
      </w:pPr>
      <w:r>
        <w:rPr>
          <w:rFonts w:ascii="Times New Roman" w:hAnsi="Times New Roman" w:eastAsia="宋体" w:cs="Times New Roman"/>
          <w:b/>
          <w:color w:val="0B2545"/>
          <w:sz w:val="26"/>
        </w:rPr>
        <w:t>Omics image examples</w:t>
      </w:r>
    </w:p>
    <w:p>
      <w:pPr>
        <w:spacing w:after="120" w:line="240" w:lineRule="auto"/>
        <w:ind w:firstLine="0"/>
        <w:jc w:val="both"/>
      </w:pPr>
      <w:r>
        <w:rPr>
          <w:rFonts w:ascii="Times New Roman" w:hAnsi="Times New Roman" w:eastAsia="宋体" w:cs="Times New Roman"/>
          <w:b w:val="0"/>
          <w:sz w:val="22"/>
        </w:rPr>
        <w:t>Figure 2B provides representative omics image examples. The grayscale expression maps (B1–B3) show the mRNA, CNV, and miRNA images at their respective sizes, the JSD importance map (B4) encodes discriminative importance derived from class-distribution differences in the training data, and the gene functional category map (B5) aligns pixel-wise with the expression and JSD maps so that attended regions can be translated into biological interpretation.</w:t>
      </w:r>
    </w:p>
    <w:p>
      <w:pPr>
        <w:pStyle w:val="Heading2"/>
        <w:spacing w:before="240" w:after="100" w:line="240" w:lineRule="auto"/>
        <w:ind w:firstLine="0"/>
        <w:jc w:val="left"/>
      </w:pPr>
      <w:r>
        <w:rPr>
          <w:rFonts w:ascii="Times New Roman" w:hAnsi="Times New Roman" w:eastAsia="宋体" w:cs="Times New Roman"/>
          <w:b/>
          <w:color w:val="0B2545"/>
          <w:sz w:val="26"/>
        </w:rPr>
        <w:t>Single-omics prediction</w:t>
      </w:r>
    </w:p>
    <w:p>
      <w:pPr>
        <w:spacing w:after="120" w:line="240" w:lineRule="auto"/>
        <w:ind w:firstLine="0"/>
        <w:jc w:val="both"/>
      </w:pPr>
      <w:r>
        <w:rPr>
          <w:rFonts w:ascii="Times New Roman" w:hAnsi="Times New Roman" w:eastAsia="宋体" w:cs="Times New Roman"/>
          <w:b w:val="0"/>
          <w:sz w:val="22"/>
        </w:rPr>
        <w:t>Table 3 summarizes the best model per task and Figure 3A shows all compared models as mean ± SD under leak-free five-fold cross-validation (feature selection, scaling, and JSD ordering inside each fold). mRNA was the strongest signal for PAM50 subtype reconstruction, followed by miRNA and then CNV; all single-omics survival models showed near-chance discrimination (C-index 0.56-0.62).</w:t>
      </w:r>
    </w:p>
    <w:p>
      <w:pPr>
        <w:spacing w:before="80" w:after="80" w:line="240" w:lineRule="auto"/>
        <w:ind w:firstLine="0"/>
        <w:jc w:val="center"/>
      </w:pPr>
      <w:r>
        <w:rPr>
          <w:rFonts w:ascii="Times New Roman" w:hAnsi="Times New Roman" w:eastAsia="宋体" w:cs="Times New Roman"/>
          <w:b/>
          <w:color w:val="1F4D78"/>
          <w:sz w:val="19"/>
        </w:rPr>
        <w:t>Table 3. Overall best single-omics models on full samples (5-fold CV, mean±SD; features selected within each training fold (leak-free)). Per-omics and per-model detail is in Supplementary Table S4.</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702"/>
        <w:gridCol w:w="1872"/>
        <w:gridCol w:w="3063"/>
        <w:gridCol w:w="1361"/>
        <w:gridCol w:w="1362"/>
      </w:tblGrid>
      <w:tr>
        <w:trPr/>
        <w:tc>
          <w:tcPr>
            <w:tcW w:type="dxa" w:w="170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87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306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Best model</w:t>
            </w:r>
          </w:p>
        </w:tc>
        <w:tc>
          <w:tcPr>
            <w:tcW w:type="dxa" w:w="136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36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r>
              <w:t>accuracy</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r>
              <w:t>mRNA FullSizeCNN</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r>
              <w:t>0.8690</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r>
              <w:t>0.0169</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r>
              <w:t>macro_f1</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r>
              <w:t>mRNA FullSizeCNN</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r>
              <w:t>0.8508</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r>
              <w:t>0.0170</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r>
              <w:t>roc_auc</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r>
              <w:t>miRNA Dense</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r>
              <w:t>0.6452</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r>
              <w:t>0.0251</w:t>
            </w:r>
          </w:p>
        </w:tc>
      </w:tr>
      <w:tr>
        <w:trPr/>
        <w:tc>
          <w:tcPr>
            <w:tcW w:type="dxa" w:w="1702"/>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Survival</w:t>
            </w:r>
          </w:p>
        </w:tc>
        <w:tc>
          <w:tcPr>
            <w:tcW w:type="dxa" w:w="1872"/>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c_index</w:t>
            </w:r>
          </w:p>
        </w:tc>
        <w:tc>
          <w:tcPr>
            <w:tcW w:type="dxa" w:w="3063"/>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miRNA CoxPH</w:t>
            </w:r>
          </w:p>
        </w:tc>
        <w:tc>
          <w:tcPr>
            <w:tcW w:type="dxa" w:w="1361"/>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0.6236</w:t>
            </w:r>
          </w:p>
        </w:tc>
        <w:tc>
          <w:tcPr>
            <w:tcW w:type="dxa" w:w="1362"/>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0.0469</w:t>
            </w:r>
          </w:p>
        </w:tc>
      </w:tr>
    </w:tbl>
    <w:p>
      <w:pPr>
        <w:spacing w:after="20" w:before="0" w:line="240" w:lineRule="auto"/>
        <w:ind w:firstLine="0"/>
      </w:pPr>
      <w:r>
        <w:rPr>
          <w:rFonts w:ascii="Times New Roman" w:hAnsi="Times New Roman" w:eastAsia="宋体" w:cs="Times New Roman"/>
          <w:sz w:val="4"/>
        </w:rPr>
      </w:r>
    </w:p>
    <w:p>
      <w:pPr>
        <w:keepNext/>
        <w:spacing w:before="100" w:after="20" w:line="240" w:lineRule="auto"/>
        <w:ind w:firstLine="0"/>
        <w:jc w:val="center"/>
      </w:pPr>
      <w:r>
        <w:drawing>
          <wp:inline xmlns:a="http://schemas.openxmlformats.org/drawingml/2006/main" xmlns:pic="http://schemas.openxmlformats.org/drawingml/2006/picture">
            <wp:extent cx="5852160" cy="5047488"/>
            <wp:docPr id="3" name="Picture 3"/>
            <wp:cNvGraphicFramePr>
              <a:graphicFrameLocks noChangeAspect="1"/>
            </wp:cNvGraphicFramePr>
            <a:graphic>
              <a:graphicData uri="http://schemas.openxmlformats.org/drawingml/2006/picture">
                <pic:pic>
                  <pic:nvPicPr>
                    <pic:cNvPr id="0" name="fig3_prediction_performance.png"/>
                    <pic:cNvPicPr/>
                  </pic:nvPicPr>
                  <pic:blipFill>
                    <a:blip r:embed="rId12"/>
                    <a:stretch>
                      <a:fillRect/>
                    </a:stretch>
                  </pic:blipFill>
                  <pic:spPr>
                    <a:xfrm>
                      <a:off x="0" y="0"/>
                      <a:ext cx="5852160" cy="5047488"/>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3. Prediction performance under leak-free five-fold cross-validation (feature selection and JSD ordering inside each training fold). A: single-omics prediction on full samples (PAM50 Accuracy and Macro-F1; survival ROC AUC and C-index; PAM50 sample sizes mRNA 832, CNV 826, miRNA 492; survival mRNA 1072, CNV 1067, miRNA 734). B: triple-omics fusion performance (PAM50 intersection n=486; survival n=725). C: advanced integration methods Transformer and DeepSurv (n=486 PAM50, 725 survival; DeepSurv has no PAM50 output). Bars show 5-fold CV mean ± SD.</w:t>
      </w:r>
    </w:p>
    <w:p>
      <w:pPr>
        <w:pStyle w:val="Heading2"/>
        <w:spacing w:before="240" w:after="100" w:line="240" w:lineRule="auto"/>
        <w:ind w:firstLine="0"/>
        <w:jc w:val="left"/>
      </w:pPr>
      <w:r>
        <w:rPr>
          <w:rFonts w:ascii="Times New Roman" w:hAnsi="Times New Roman" w:eastAsia="宋体" w:cs="Times New Roman"/>
          <w:b/>
          <w:color w:val="0B2545"/>
          <w:sz w:val="26"/>
        </w:rPr>
        <w:t>Multi-omics integration</w:t>
      </w:r>
    </w:p>
    <w:p>
      <w:pPr>
        <w:spacing w:after="120" w:line="240" w:lineRule="auto"/>
        <w:ind w:firstLine="0"/>
        <w:jc w:val="both"/>
      </w:pPr>
      <w:r>
        <w:rPr>
          <w:rFonts w:ascii="Times New Roman" w:hAnsi="Times New Roman" w:eastAsia="宋体" w:cs="Times New Roman"/>
          <w:b w:val="0"/>
          <w:sz w:val="22"/>
        </w:rPr>
        <w:t>On the 486-sample triple-omics intersection, the best leak-free PAM50 fusion was CNN late-average (Accuracy 0.8415±0.0327), followed by Concat MLP (0.8353±0.0316) and Concat LogisticRegression (0.8085±0.0653); gated attention was lower (0.8003±0.0539). These did not exceed the best intersection single-omics mRNA RandomForest (0.8519±0.0285).</w:t>
      </w:r>
    </w:p>
    <w:p>
      <w:pPr>
        <w:spacing w:after="120" w:line="240" w:lineRule="auto"/>
        <w:ind w:firstLine="0"/>
        <w:jc w:val="both"/>
      </w:pPr>
      <w:r>
        <w:rPr>
          <w:rFonts w:ascii="Times New Roman" w:hAnsi="Times New Roman" w:eastAsia="宋体" w:cs="Times New Roman"/>
          <w:b w:val="0"/>
          <w:sz w:val="22"/>
        </w:rPr>
        <w:t>For survival-risk modeling, CNN late-average fusion reached ROC AUC 0.6742±0.0385, modestly above the best single-omics models; Concat MLP reached 0.6410±0.0504, while gated attention (0.6255±0.0399) and Concat LogisticRegression (0.6234±0.0382) were lower. The survival gain was modest and was not formally tested against all single-omics models.</w:t>
      </w:r>
    </w:p>
    <w:p>
      <w:pPr>
        <w:spacing w:after="120" w:line="240" w:lineRule="auto"/>
        <w:ind w:firstLine="0"/>
        <w:jc w:val="both"/>
      </w:pPr>
      <w:r>
        <w:rPr>
          <w:rFonts w:ascii="Times New Roman" w:hAnsi="Times New Roman" w:eastAsia="宋体" w:cs="Times New Roman"/>
          <w:b w:val="0"/>
          <w:sz w:val="22"/>
        </w:rPr>
        <w:t>Figure 3B summarizes the triple-omics fusion performance across all schemes and metrics.</w:t>
      </w:r>
    </w:p>
    <w:p>
      <w:pPr>
        <w:pStyle w:val="Heading2"/>
        <w:spacing w:before="240" w:after="100" w:line="240" w:lineRule="auto"/>
        <w:ind w:firstLine="0"/>
        <w:jc w:val="left"/>
      </w:pPr>
      <w:r>
        <w:rPr>
          <w:rFonts w:ascii="Times New Roman" w:hAnsi="Times New Roman" w:eastAsia="宋体" w:cs="Times New Roman"/>
          <w:b/>
          <w:color w:val="0B2545"/>
          <w:sz w:val="26"/>
        </w:rPr>
        <w:t>Pairwise, stacking, and complex methods</w:t>
      </w:r>
    </w:p>
    <w:p>
      <w:pPr>
        <w:spacing w:after="120" w:line="240" w:lineRule="auto"/>
        <w:ind w:firstLine="0"/>
        <w:jc w:val="both"/>
      </w:pPr>
      <w:r>
        <w:rPr>
          <w:rFonts w:ascii="Times New Roman" w:hAnsi="Times New Roman" w:eastAsia="宋体" w:cs="Times New Roman"/>
          <w:b w:val="0"/>
          <w:sz w:val="22"/>
        </w:rPr>
        <w:t>Pairwise, stacking, and complex-method results below are exploratory estimates based on cohort-level pre-selected features and have not yet been recomputed under leak-free cross-validation. For pairwise fusion, PAM50 mRNA+CNV LogisticRegression reached Accuracy 0.9633±0.0039, mRNA+miRNA LogisticRegression 0.9095, and CNV+miRNA LogisticRegression 0.8438. For survival-risk modeling, mRNA+CNV Concat MLP reached C-index 0.7451, mRNA+miRNA Concat MLP 0.7337, and CNV+miRNA CNN LateAvg 0.7216. Nine-model stacking reached PAM50 Accuracy 0.9229, survival C-index 0.7321, and ROC AUC 0.7469, without stably exceeding the best simple fusion. Pairwise and nine-model stacking results are detailed in Supplementary Tables S7 and S8.</w:t>
      </w:r>
    </w:p>
    <w:p>
      <w:pPr>
        <w:spacing w:after="120" w:line="240" w:lineRule="auto"/>
        <w:ind w:firstLine="0"/>
        <w:jc w:val="both"/>
      </w:pPr>
      <w:r>
        <w:rPr>
          <w:rFonts w:ascii="Times New Roman" w:hAnsi="Times New Roman" w:eastAsia="宋体" w:cs="Times New Roman"/>
          <w:b w:val="0"/>
          <w:sz w:val="22"/>
        </w:rPr>
        <w:t>Under leak-free evaluation, Transformer reached PAM50 Accuracy 0.8106±0.0476 (Macro-F1 0.7854±0.0440) and survival C-index 0.5677±0.0649, below the simple CNN late-average fusion; DeepSurv reached survival ROC AUC 0.6222±0.0625 (C-index 0.6252±0.0569). Multi-task, low-rank bilinear, and GNN were evaluated in the exploratory setting only and are reported in Supplementary Table S9. Figure 3C summarizes the leak-free advanced-method results.</w:t>
      </w:r>
    </w:p>
    <w:p>
      <w:pPr>
        <w:pStyle w:val="Heading2"/>
        <w:spacing w:before="240" w:after="100" w:line="240" w:lineRule="auto"/>
        <w:ind w:firstLine="0"/>
        <w:jc w:val="left"/>
      </w:pPr>
      <w:r>
        <w:rPr>
          <w:rFonts w:ascii="Times New Roman" w:hAnsi="Times New Roman" w:eastAsia="宋体" w:cs="Times New Roman"/>
          <w:b/>
          <w:color w:val="0B2545"/>
          <w:sz w:val="26"/>
        </w:rPr>
        <w:t>Statistical tests</w:t>
      </w:r>
    </w:p>
    <w:p>
      <w:pPr>
        <w:spacing w:after="120" w:line="240" w:lineRule="auto"/>
        <w:ind w:firstLine="0"/>
        <w:jc w:val="both"/>
      </w:pPr>
      <w:r>
        <w:rPr>
          <w:rFonts w:ascii="Times New Roman" w:hAnsi="Times New Roman" w:eastAsia="宋体" w:cs="Times New Roman"/>
          <w:b w:val="0"/>
          <w:sz w:val="22"/>
        </w:rPr>
        <w:t>Paired tests between the best fusion and the best intersection single-omics on the same folds and the same 486/725 patients are in Supplementary Table S10. For PAM50, CNN late-average fusion versus mRNA RandomForest had an Accuracy difference of -0.0104 (paired t p=0.6531, Wilcoxon p=0.6250), and Concat MLP versus mRNA RandomForest had a difference of -0.0166 (p=0.5412, Wilcoxon p=0.6250). For survival, CNN late-average fusion versus mRNA RandomForest had a ROC AUC difference of +0.0901 (paired t p=0.0966, Wilcoxon p=0.0625), and Concat MLP versus mRNA RandomForest had a difference of +0.0570 (p=0.1659, Wilcoxon p=0.3125). Thus no fusion strategy reached a statistically significant advantage over the best single-omics counterpart at the 0.05 threshold.</w:t>
      </w:r>
    </w:p>
    <w:p>
      <w:pPr>
        <w:pStyle w:val="Heading2"/>
        <w:spacing w:before="240" w:after="100" w:line="240" w:lineRule="auto"/>
        <w:ind w:firstLine="0"/>
        <w:jc w:val="left"/>
      </w:pPr>
      <w:r>
        <w:rPr>
          <w:rFonts w:ascii="Times New Roman" w:hAnsi="Times New Roman" w:eastAsia="宋体" w:cs="Times New Roman"/>
          <w:b/>
          <w:color w:val="0B2545"/>
          <w:sz w:val="26"/>
        </w:rPr>
        <w:t>Interpretability and key factors</w:t>
      </w:r>
    </w:p>
    <w:p>
      <w:pPr>
        <w:spacing w:after="120" w:line="240" w:lineRule="auto"/>
        <w:ind w:firstLine="0"/>
        <w:jc w:val="both"/>
      </w:pPr>
      <w:r>
        <w:rPr>
          <w:rFonts w:ascii="Times New Roman" w:hAnsi="Times New Roman" w:eastAsia="宋体" w:cs="Times New Roman"/>
          <w:b w:val="0"/>
          <w:sz w:val="22"/>
        </w:rPr>
        <w:t>SHAP used the LinearExplainer of the scikit-learn LogisticRegression with all training-fold samples as background; CNN saliency aggregated input gradients across the five folds; and functional enrichment used the full mRNA transcriptome as the background universe through g:Profiler GO/KEGG/Reactome (Raudvere et al., 2019) with its default multiple-testing correction.</w:t>
      </w:r>
    </w:p>
    <w:p>
      <w:pPr>
        <w:spacing w:after="120" w:line="240" w:lineRule="auto"/>
        <w:ind w:firstLine="0"/>
        <w:jc w:val="both"/>
      </w:pPr>
      <w:r>
        <w:rPr>
          <w:rFonts w:ascii="Times New Roman" w:hAnsi="Times New Roman" w:eastAsia="宋体" w:cs="Times New Roman"/>
          <w:b w:val="0"/>
          <w:sz w:val="22"/>
        </w:rPr>
        <w:t>SHAP for mRNA PAM50 LogisticRegression highlighted CYP2B7P1, TFF1, C1orf64, AGR3, KCNJ3, MIA, PPP1R14C, ESR1, and STAC2. Consensus genes between CNN saliency and SHAP included TCAM1P, MIA, SMC1B, PPP1R14C, KLK6, SLC6A11, FABP7, and FOXC1. Univariate survival Cox identified MS4A1, COL17A1, C2orf40, PLA2G2D, FABP7, CCL19, and GZMB. Pathway enrichment indicated estrogen signaling, proliferation, cell division, and epithelial development; the SHAP, saliency, consensus, survival-Cox, and enrichment figures are Supplementary Figures S5-S9.</w:t>
      </w:r>
    </w:p>
    <w:p>
      <w:pPr>
        <w:spacing w:after="120" w:line="240" w:lineRule="auto"/>
        <w:ind w:firstLine="0"/>
        <w:jc w:val="both"/>
      </w:pPr>
      <w:r>
        <w:rPr>
          <w:rFonts w:ascii="Times New Roman" w:hAnsi="Times New Roman" w:eastAsia="宋体" w:cs="Times New Roman"/>
          <w:b w:val="0"/>
          <w:sz w:val="22"/>
        </w:rPr>
        <w:t>Figure 4A shows how the JSD imaging scheme aligns model attribution (SHAP importance, CNN saliency, and the expression–saliency overlay) in one coordinate system, so that attributions can be localized to gene pixels rather than emitted only as a table. Detailed SHAP, saliency, consensus-gene, hazard-ratio, and enrichment rankings are in Supplementary Figures S5–S9.</w:t>
      </w:r>
    </w:p>
    <w:p>
      <w:pPr>
        <w:pStyle w:val="Heading2"/>
        <w:spacing w:before="240" w:after="100" w:line="240" w:lineRule="auto"/>
        <w:ind w:firstLine="0"/>
        <w:jc w:val="left"/>
      </w:pPr>
      <w:r>
        <w:rPr>
          <w:rFonts w:ascii="Times New Roman" w:hAnsi="Times New Roman" w:eastAsia="宋体" w:cs="Times New Roman"/>
          <w:b/>
          <w:color w:val="0B2545"/>
          <w:sz w:val="26"/>
        </w:rPr>
        <w:t>Functional-category masking</w:t>
      </w:r>
    </w:p>
    <w:p>
      <w:pPr>
        <w:spacing w:after="120" w:line="240" w:lineRule="auto"/>
        <w:ind w:firstLine="0"/>
        <w:jc w:val="both"/>
      </w:pPr>
      <w:r>
        <w:rPr>
          <w:rFonts w:ascii="Times New Roman" w:hAnsi="Times New Roman" w:eastAsia="宋体" w:cs="Times New Roman"/>
          <w:b w:val="0"/>
          <w:sz w:val="22"/>
        </w:rPr>
        <w:t>To explain the contribution of different functional regions, we masked functional categories on the scheme-2 images. Unlike the original global JSD ordering, scheme 2 groups features by category, sorts within blocks by JSD, and fills blocks by mean importance from the center outward, so each color region corresponds to one functional module and the center holds high-JSD modules. Figure 4B shows the masking workflow; the complete workflow and per-omics masking performance are in Supplementary Figures S10–S13.</w:t>
      </w:r>
    </w:p>
    <w:p>
      <w:pPr>
        <w:spacing w:after="120" w:line="240" w:lineRule="auto"/>
        <w:ind w:firstLine="0"/>
        <w:jc w:val="both"/>
      </w:pPr>
      <w:r>
        <w:rPr>
          <w:rFonts w:ascii="Times New Roman" w:hAnsi="Times New Roman" w:eastAsia="宋体" w:cs="Times New Roman"/>
          <w:b w:val="0"/>
          <w:sz w:val="22"/>
        </w:rPr>
        <w:t>For mRNA, PAM50 baseline Accuracy was 0.9244±0.0124 and Macro-F1 0.9069±0.0133; masking Other reduced Macro-F1 to 0.8819±0.0210. mRNA survival baseline C-index was 0.6984±0.0756 and fell to 0.6757±0.0715 after masking Other. CNV and miRNA likewise showed the largest drop after masking Other, but because Other has the most features, the drop also reflects module size. Figure 4C shows the masking delta heatmap for mRNA, CNV, and miRNA; mRNA results are in Supplementary Table S16 and CNV/miRNA in Table S17.</w:t>
      </w:r>
    </w:p>
    <w:p>
      <w:pPr>
        <w:spacing w:after="120" w:line="240" w:lineRule="auto"/>
        <w:ind w:firstLine="0"/>
        <w:jc w:val="both"/>
      </w:pPr>
      <w:r>
        <w:rPr>
          <w:rFonts w:ascii="Times New Roman" w:hAnsi="Times New Roman" w:eastAsia="宋体" w:cs="Times New Roman"/>
          <w:b w:val="0"/>
          <w:sz w:val="22"/>
        </w:rPr>
        <w:t>To separate functional-module specificity from feature-set size, we added equal-size random-gene masks for each mRNA category. The functional-category mask did not consistently outperform the equal-size random mask in most comparisons. Re-enrichment of mRNA PAM50 Other genes still showed epithelial-cell differentiation, epithelial and tissue development, estrogen signaling, and cell-population proliferation. The Top50 consensus genes between SHAP and saliency fell mainly into Development/Epithelium and Other, followed by Cell cycle/Proliferation, Signaling/Transport, and Hormone/Metabolism. Fold-level metrics are in Supplementary Table S18, paired tests in Table S19, Other re-enrichment in Table S20, and consensus overlap in Table S21.</w:t>
      </w:r>
    </w:p>
    <w:p>
      <w:pPr>
        <w:keepNext/>
        <w:spacing w:before="100" w:after="20" w:line="240" w:lineRule="auto"/>
        <w:ind w:firstLine="0"/>
        <w:jc w:val="center"/>
      </w:pPr>
      <w:r>
        <w:drawing>
          <wp:inline xmlns:a="http://schemas.openxmlformats.org/drawingml/2006/main" xmlns:pic="http://schemas.openxmlformats.org/drawingml/2006/picture">
            <wp:extent cx="5852160" cy="4257446"/>
            <wp:docPr id="4" name="Picture 4"/>
            <wp:cNvGraphicFramePr>
              <a:graphicFrameLocks noChangeAspect="1"/>
            </wp:cNvGraphicFramePr>
            <a:graphic>
              <a:graphicData uri="http://schemas.openxmlformats.org/drawingml/2006/picture">
                <pic:pic>
                  <pic:nvPicPr>
                    <pic:cNvPr id="0" name="fig4_interpretability_masking.png"/>
                    <pic:cNvPicPr/>
                  </pic:nvPicPr>
                  <pic:blipFill>
                    <a:blip r:embed="rId13"/>
                    <a:stretch>
                      <a:fillRect/>
                    </a:stretch>
                  </pic:blipFill>
                  <pic:spPr>
                    <a:xfrm>
                      <a:off x="0" y="0"/>
                      <a:ext cx="5852160" cy="4257446"/>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4. Interpretability and functional-category masking. A: mRNA PAM50 attribution maps (A1 SHAP importance, A2 CNN saliency, A3 expression–saliency overlay). B: scheme-2 masking workflow (B1 before masking, B2 functional category map, B3 after masking; B4 flow diagram). C: functional-category masking delta heatmap for mRNA, CNV, and miRNA (red, decrease; blue, increase). 5-fold cross-validation SD is reported in Supplementary Tables S16–S17.</w:t>
      </w:r>
    </w:p>
    <w:p>
      <w:pPr>
        <w:pStyle w:val="Heading2"/>
        <w:spacing w:before="240" w:after="100" w:line="240" w:lineRule="auto"/>
        <w:ind w:firstLine="0"/>
        <w:jc w:val="left"/>
      </w:pPr>
      <w:r>
        <w:rPr>
          <w:rFonts w:ascii="Times New Roman" w:hAnsi="Times New Roman" w:eastAsia="宋体" w:cs="Times New Roman"/>
          <w:b/>
          <w:color w:val="0B2545"/>
          <w:sz w:val="26"/>
        </w:rPr>
        <w:t>Gene interactions and network reordering</w:t>
      </w:r>
    </w:p>
    <w:p>
      <w:pPr>
        <w:spacing w:after="120" w:line="240" w:lineRule="auto"/>
        <w:ind w:firstLine="0"/>
        <w:jc w:val="both"/>
      </w:pPr>
      <w:r>
        <w:rPr>
          <w:rFonts w:ascii="Times New Roman" w:hAnsi="Times New Roman" w:eastAsia="宋体" w:cs="Times New Roman"/>
          <w:b w:val="0"/>
          <w:sz w:val="22"/>
        </w:rPr>
        <w:t>The consensus-gene STRING PPI mainly involved ESR1, PGR, MYBL2, BIRC5, and E2F8, coupling hormonal signaling to proliferation and mitosis; because only high-confidence edges were kept, these PPI results should be treated as exploratory. The mRNA co-expression network formed sparse communities at the conservative threshold, and cross-omics analyses identified candidate miRNA-mRNA negative and CNV-mRNA correlations. Reordering the mRNA image by co-expression communities gave FullSizeCNN Accuracy 0.8931, below the original JSD spiral ordering, indicating that biological adjacency adds interpretability context but not predictive gain here. Figure 5 summarizes the gene-interaction analyses; full network files are in Supplementary S22, with the community comparison in Table S30.</w:t>
      </w:r>
    </w:p>
    <w:p>
      <w:pPr>
        <w:keepNext/>
        <w:spacing w:before="100" w:after="20" w:line="240" w:lineRule="auto"/>
        <w:ind w:firstLine="0"/>
        <w:jc w:val="center"/>
      </w:pPr>
      <w:r>
        <w:drawing>
          <wp:inline xmlns:a="http://schemas.openxmlformats.org/drawingml/2006/main" xmlns:pic="http://schemas.openxmlformats.org/drawingml/2006/picture">
            <wp:extent cx="5852160" cy="3909838"/>
            <wp:docPr id="5" name="Picture 5"/>
            <wp:cNvGraphicFramePr>
              <a:graphicFrameLocks noChangeAspect="1"/>
            </wp:cNvGraphicFramePr>
            <a:graphic>
              <a:graphicData uri="http://schemas.openxmlformats.org/drawingml/2006/picture">
                <pic:pic>
                  <pic:nvPicPr>
                    <pic:cNvPr id="0" name="fig10.png"/>
                    <pic:cNvPicPr/>
                  </pic:nvPicPr>
                  <pic:blipFill>
                    <a:blip r:embed="rId14"/>
                    <a:stretch>
                      <a:fillRect/>
                    </a:stretch>
                  </pic:blipFill>
                  <pic:spPr>
                    <a:xfrm>
                      <a:off x="0" y="0"/>
                      <a:ext cx="5852160" cy="3909838"/>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5. Gene interaction analysis. A: consensus-gene STRING PPI; B: mRNA co-expression communities; C: top miRNA-mRNA negative correlations; D: top CNV-mRNA correlations. The community-informed ordering is compared with the JSD spiral ordering in Supplementary Table S30.</w:t>
      </w:r>
    </w:p>
    <w:p>
      <w:pPr>
        <w:pStyle w:val="Heading1"/>
        <w:spacing w:before="320" w:after="140" w:line="240" w:lineRule="auto"/>
        <w:ind w:firstLine="0"/>
        <w:jc w:val="left"/>
      </w:pPr>
      <w:r>
        <w:rPr>
          <w:rFonts w:ascii="Times New Roman" w:hAnsi="Times New Roman" w:eastAsia="宋体" w:cs="Times New Roman"/>
          <w:b/>
          <w:color w:val="0B2545"/>
          <w:sz w:val="32"/>
        </w:rPr>
        <w:t>Discussion</w:t>
      </w:r>
    </w:p>
    <w:p>
      <w:pPr>
        <w:spacing w:after="120" w:line="240" w:lineRule="auto"/>
        <w:ind w:firstLine="0"/>
        <w:jc w:val="both"/>
      </w:pPr>
      <w:r>
        <w:rPr>
          <w:rFonts w:ascii="Times New Roman" w:hAnsi="Times New Roman" w:eastAsia="宋体" w:cs="Times New Roman"/>
          <w:b w:val="0"/>
          <w:sz w:val="22"/>
        </w:rPr>
        <w:t>mRNA was the dominant signal source for PAM50 subtype reconstruction: its leak-free FullSizeCNN reached 0.8690±0.0169 Accuracy, with LogisticRegression lower (0.8221±0.0186). CNV alone had limited discriminative power (MLP 0.6005±0.0233), and its survival discrimination was near chance. miRNA had the smallest sample size and intermediate single-omics performance.</w:t>
      </w:r>
    </w:p>
    <w:p>
      <w:pPr>
        <w:spacing w:after="120" w:line="240" w:lineRule="auto"/>
        <w:ind w:firstLine="0"/>
        <w:jc w:val="both"/>
      </w:pPr>
      <w:r>
        <w:rPr>
          <w:rFonts w:ascii="Times New Roman" w:hAnsi="Times New Roman" w:eastAsia="宋体" w:cs="Times New Roman"/>
          <w:b w:val="0"/>
          <w:sz w:val="22"/>
        </w:rPr>
        <w:t>To separate PAM50 subtype prediction from PAM50-gene-panel reconstruction, we removed the 21 genes overlapping the canonical PAM50 50-gene set from the final 400 JSD-ranked mRNA features (exploratory estimate on the cohort-level feature set): LogisticRegression five-fold Accuracy was largely unchanged, and using only those 21 genes markedly reduced performance. The strict version from the full transcriptome with fold-internal selection is in Supplementary Table S25. The discriminative information in the JSD-selected mRNA set therefore comes from a broader transcriptomic signal rather than the 50-gene panel, so the mRNA PAM50 task should be read as subtype reconstruction.</w:t>
      </w:r>
    </w:p>
    <w:p>
      <w:pPr>
        <w:spacing w:after="120" w:line="240" w:lineRule="auto"/>
        <w:ind w:firstLine="0"/>
        <w:jc w:val="both"/>
      </w:pPr>
      <w:r>
        <w:rPr>
          <w:rFonts w:ascii="Times New Roman" w:hAnsi="Times New Roman" w:eastAsia="宋体" w:cs="Times New Roman"/>
          <w:b w:val="0"/>
          <w:sz w:val="22"/>
        </w:rPr>
        <w:t>Multi-omics fusion added little for PAM50 because mRNA is already highly discriminative and other omics tend to inject noise under high dimensionality and small samples. For survival-risk modeling, CNN late-average fusion modestly exceeded the best single omics (ROC AUC 0.674 versus 0.626), indicating some complementarity, but the gain was small relative to the cross-validation standard deviation and was not formally significant.</w:t>
      </w:r>
    </w:p>
    <w:p>
      <w:pPr>
        <w:spacing w:after="120" w:line="240" w:lineRule="auto"/>
        <w:ind w:firstLine="0"/>
        <w:jc w:val="both"/>
      </w:pPr>
      <w:r>
        <w:rPr>
          <w:rFonts w:ascii="Times New Roman" w:hAnsi="Times New Roman" w:eastAsia="宋体" w:cs="Times New Roman"/>
          <w:b w:val="0"/>
          <w:sz w:val="22"/>
        </w:rPr>
        <w:t>The advantage of JSD imaging is interpretability rather than maximal accuracy. By placing high-JSD genes centrally and drawing functional-category and saliency maps together, the attended convolutional regions map intuitively to key genes and pathways. This traceable, pixel-to-gene coordinate system is the core contribution, because it lets a reader move from a model-attended region directly to a biological entity.</w:t>
      </w:r>
    </w:p>
    <w:p>
      <w:pPr>
        <w:spacing w:after="120" w:line="240" w:lineRule="auto"/>
        <w:ind w:firstLine="0"/>
        <w:jc w:val="both"/>
      </w:pPr>
      <w:r>
        <w:rPr>
          <w:rFonts w:ascii="Times New Roman" w:hAnsi="Times New Roman" w:eastAsia="宋体" w:cs="Times New Roman"/>
          <w:b w:val="0"/>
          <w:sz w:val="22"/>
        </w:rPr>
        <w:t>To test whether the two-dimensional structure itself adds anything, we trained a dense-equivalent baseline (Flatten→Dense(32)→Dense(64)→output) with the same first-layer parameter count as the full-size kernel. The dense baseline was comparable to FullSizeCNN under leak-free evaluation (PAM50 mRNA 0.8593 versus 0.8690; CNV 0.6238 versus 0.6162; miRNA 0.7989 versus 0.7785) and was similar on survival C-index. The discriminative information therefore comes mainly from the raw feature values, not from the imposed two-dimensional adjacency; the imaging interface mainly supports attribution.</w:t>
      </w:r>
    </w:p>
    <w:p>
      <w:pPr>
        <w:spacing w:after="120" w:line="240" w:lineRule="auto"/>
        <w:ind w:firstLine="0"/>
        <w:jc w:val="both"/>
      </w:pPr>
      <w:r>
        <w:rPr>
          <w:rFonts w:ascii="Times New Roman" w:hAnsi="Times New Roman" w:eastAsia="宋体" w:cs="Times New Roman"/>
          <w:b w:val="0"/>
          <w:sz w:val="22"/>
        </w:rPr>
        <w:t>(This random-permutation control was run on the cohort-level 400-feature set and is therefore exploratory.) As a direct test of the ordering hypothesis, we compared JSD spiral ordering with 20 random gene orders on mRNA. JSD did not outperform random ordering: PAM50 Accuracy was 0.9316 for JSD versus a random mean of 0.9267 (range 0.9112-0.9400, empirical p=0.25), and survival C-index was 0.7125 versus 0.7055 (empirical p=0.35). Mean-expression ordering matched JSD on PAM50 Accuracy (0.9316). Pixel position therefore carries almost no predictive information, and we position imaging as an interpretable spatial representation rather than an accuracy-boosting ordering method.</w:t>
      </w:r>
    </w:p>
    <w:p>
      <w:pPr>
        <w:spacing w:after="120" w:line="240" w:lineRule="auto"/>
        <w:ind w:firstLine="0"/>
        <w:jc w:val="both"/>
      </w:pPr>
      <w:r>
        <w:rPr>
          <w:rFonts w:ascii="Times New Roman" w:hAnsi="Times New Roman" w:eastAsia="宋体" w:cs="Times New Roman"/>
          <w:b w:val="0"/>
          <w:sz w:val="22"/>
        </w:rPr>
        <w:t>To control the selection bias from sharing the same cross-validation between feature-number selection and final evaluation, we ran leak-free nested repeated CV for mRNA PAM50: outer 5-fold x 5 repeats, inner 3-fold feature-number selection from {200, 400} with V_L1, and JSD ordering only inside the training fold. LogisticRegression reached 0.8392±0.0288, FullSizeCNN 0.8510±0.0282, and the dense baseline 0.8449±0.0326, all below the main-text 400-feature estimates; FullSizeCNN and dense did not differ beyond the CV standard deviation. The gap may reflect both feature-number and pipeline changes, not a single optimistic-bias mechanism, so these leak-free estimates and the fold-internal single-omics rerun both fall below the earlier cohort-level estimates, confirming that the original exploratory results were optimistic (Supplementary Tables S24 and S4).</w:t>
      </w:r>
    </w:p>
    <w:p>
      <w:pPr>
        <w:spacing w:after="120" w:line="240" w:lineRule="auto"/>
        <w:ind w:firstLine="0"/>
        <w:jc w:val="both"/>
      </w:pPr>
      <w:r>
        <w:rPr>
          <w:rFonts w:ascii="Times New Roman" w:hAnsi="Times New Roman" w:eastAsia="宋体" w:cs="Times New Roman"/>
          <w:b w:val="0"/>
          <w:sz w:val="22"/>
        </w:rPr>
        <w:t>Under leak-free evaluation, censoring-aware survival models confirmed a weak-to-moderate omics survival signal: CoxNet and random survival forest reached C-index 0.6321±0.0519 and 0.6235±0.0607 for mRNA, 0.5554±0.0388 and 0.5581±0.0434 for CNV, and 0.5730±0.0543 and 0.6563±0.0440 for miRNA; the mRNA CoxNet time-dependent AUC was 0.6128. The earlier FullSizeCNN-Cox estimate (C-index 0.6818±0.0401) was based on cohort-level pre-selected images and is superseded by these leak-free results.</w:t>
      </w:r>
    </w:p>
    <w:p>
      <w:pPr>
        <w:spacing w:after="120" w:line="240" w:lineRule="auto"/>
        <w:ind w:firstLine="0"/>
        <w:jc w:val="both"/>
      </w:pPr>
      <w:r>
        <w:rPr>
          <w:rFonts w:ascii="Times New Roman" w:hAnsi="Times New Roman" w:eastAsia="宋体" w:cs="Times New Roman"/>
          <w:b w:val="0"/>
          <w:sz w:val="22"/>
        </w:rPr>
        <w:t>Gene-interaction analysis further showed that consensus genes were enriched in a STRING network coupling hormonal signaling with proliferation and mitosis, and cross-omics analyses identified candidate miRNA-mRNA and CNV-mRNA edges. Reordering the mRNA image by co-expression communities did not exceed the original JSD spiral ordering (Accuracy 0.8931), so biological adjacency enriches interpretability without yet improving the full-size convolutional predictor.</w:t>
      </w:r>
    </w:p>
    <w:p>
      <w:pPr>
        <w:spacing w:after="120" w:line="240" w:lineRule="auto"/>
        <w:ind w:firstLine="0"/>
        <w:jc w:val="both"/>
      </w:pPr>
      <w:r>
        <w:rPr>
          <w:rFonts w:ascii="Times New Roman" w:hAnsi="Times New Roman" w:eastAsia="宋体" w:cs="Times New Roman"/>
          <w:b w:val="0"/>
          <w:sz w:val="22"/>
        </w:rPr>
        <w:t>Consistent with the focus on molecular stress responses and adaptive reprogramming, we examined Hypoxia, ROS, OXPHOS, UPR, mTORC1, Glycolysis, EMT, and DNA-repair pathways against JSD high-importance genes, PAM50 subtypes, and survival. None of these pathways was nominally enriched among the top-500 JSD genes (Fisher p after BH-FDR correction was not significant), and univariate Cox found no pathway score associated with overall survival. Pathway scores differed strongly across PAM50 subtypes (Kruskal-Wallis p&lt;0.001), which is expected when subtypes are defined by expression. We therefore treat these as exploratory negative findings under bulk expression and compact signatures, and suggest validation in single-cell, spatial transcriptomic, or perturbation settings.</w:t>
      </w:r>
    </w:p>
    <w:p>
      <w:pPr>
        <w:spacing w:after="120" w:line="240" w:lineRule="auto"/>
        <w:ind w:firstLine="0"/>
        <w:jc w:val="both"/>
      </w:pPr>
      <w:r>
        <w:rPr>
          <w:rFonts w:ascii="Times New Roman" w:hAnsi="Times New Roman" w:eastAsia="宋体" w:cs="Times New Roman"/>
          <w:b w:val="0"/>
          <w:sz w:val="22"/>
        </w:rPr>
        <w:t>Compared with existing table-to-image representations, DeepInsight lays out features with unsupervised t-SNE, DeepInsight-3D extends this to multi-omics, and Yan et al. use transcriptomic feature maps for cancer-type and survival prediction (Sharma et al., 2019; Sharma et al., 2023; Yan et al., 2025); SurvConvMixer uses pathway-level expression images (Wang et al., 2024), and MoACNN-XGNet builds an interpretable multi-omics CNN for breast-cancer subtyping (Li et al., 2025). Our framework differs in two ways: it uses supervised JSD rather than unsupervised dimensionality reduction to guide the layout and binds expression, importance, function, and attention into one traceable coordinate system; and its dense-equivalent and random-permutation controls show that the 2-D layout itself does not add predictive gain at this data scale. This complements rather than contradicts the DeepInsight motivation: spatial structure is more likely to help when larger samples or a genuine spatial prior (such as a pathway network) are available.</w:t>
      </w:r>
    </w:p>
    <w:p>
      <w:pPr>
        <w:spacing w:after="120" w:line="240" w:lineRule="auto"/>
        <w:ind w:firstLine="0"/>
        <w:jc w:val="both"/>
      </w:pPr>
      <w:r>
        <w:rPr>
          <w:rFonts w:ascii="Times New Roman" w:hAnsi="Times New Roman" w:eastAsia="宋体" w:cs="Times New Roman"/>
          <w:b w:val="0"/>
          <w:sz w:val="22"/>
        </w:rPr>
        <w:t>Functional-category masking showed the largest drop for Other across mRNA, CNV, and miRNA, but Other also has the most features; equal-size random-mask controls did not show that functional-module masking consistently beat random masking. The larger Other drop more likely reflects a high-dimensional unannotated feature set carrying discriminative signal plus a module-size effect, rather than a single known category. CNV and miRNA categories are rule-based, so those results should be read as directional.</w:t>
      </w:r>
    </w:p>
    <w:p>
      <w:pPr>
        <w:spacing w:after="120" w:line="240" w:lineRule="auto"/>
        <w:ind w:firstLine="0"/>
        <w:jc w:val="both"/>
      </w:pPr>
      <w:r>
        <w:rPr>
          <w:rFonts w:ascii="Times New Roman" w:hAnsi="Times New Roman" w:eastAsia="宋体" w:cs="Times New Roman"/>
          <w:b w:val="0"/>
          <w:sz w:val="22"/>
        </w:rPr>
        <w:t>Limitations include a single retrospective TCGA-BRCA cohort; although METABRIC provides mRNA/CNV single-omics external validation, a complete external cohort with mRNA, CNV, and miRNA is still missing. Survival events are few and class-imbalanced; the spiral position is not a true biological space; and complex models may overfit. Statistically, the paired tests use only five fold-level scores, so power is limited and no multiple-comparison correction was applied; non-significant numerical differences (e.g., survival ROC AUC paired t p=0.093) should not be interpreted as evidence of no difference, and repeated CV, bootstrap confidence intervals, or fold-level effect sizes should be used to strengthen inference. Finally, the main analysis shares the same CV for feature-number selection and evaluation, so selection bias remains; the main multi-omics fusion analysis has not been fully re-evaluated under nested CV, and independent external validation is still necessary.</w:t>
      </w:r>
    </w:p>
    <w:p>
      <w:pPr>
        <w:spacing w:after="120" w:line="240" w:lineRule="auto"/>
        <w:ind w:firstLine="0"/>
        <w:jc w:val="both"/>
      </w:pPr>
      <w:r>
        <w:rPr>
          <w:rFonts w:ascii="Times New Roman" w:hAnsi="Times New Roman" w:eastAsia="宋体" w:cs="Times New Roman"/>
          <w:b w:val="0"/>
          <w:sz w:val="22"/>
        </w:rPr>
        <w:t>The contribution of this work is not the highest classification accuracy but a traceable, gene-mappable omics imaging representation that retains raw feature values while explicitly encoding discriminative importance into image space, providing a unified interface for downstream key-factor mining and clinical translation.</w:t>
      </w:r>
    </w:p>
    <w:p>
      <w:pPr>
        <w:pStyle w:val="Heading1"/>
        <w:spacing w:before="320" w:after="140" w:line="240" w:lineRule="auto"/>
        <w:ind w:firstLine="0"/>
        <w:jc w:val="left"/>
      </w:pPr>
      <w:r>
        <w:rPr>
          <w:rFonts w:ascii="Times New Roman" w:hAnsi="Times New Roman" w:eastAsia="宋体" w:cs="Times New Roman"/>
          <w:b/>
          <w:color w:val="0B2545"/>
          <w:sz w:val="32"/>
        </w:rPr>
        <w:t>Conclusions</w:t>
      </w:r>
    </w:p>
    <w:p>
      <w:pPr>
        <w:spacing w:after="120" w:line="240" w:lineRule="auto"/>
        <w:ind w:firstLine="0"/>
        <w:jc w:val="both"/>
      </w:pPr>
      <w:r>
        <w:rPr>
          <w:rFonts w:ascii="Times New Roman" w:hAnsi="Times New Roman" w:eastAsia="宋体" w:cs="Times New Roman"/>
          <w:b w:val="0"/>
          <w:sz w:val="22"/>
        </w:rPr>
        <w:t>We established a JSD-guided omics imaging and multi-omics fusion framework that supports both breast-cancer PAM50 subtype reconstruction and survival-risk ranking. mRNA was the strongest single omics for subtype reconstruction, and its discriminative information was not driven mainly by the canonical PAM50 panel. Multi-omics fusion showed numerical but not statistically significant gains for survival-risk modeling, pointing to complementary information that requires independent validation. FullSizeCNN provides a lightweight, interpretable baseline for omics imaging. Future work should validate on external multi-omics cohorts and explore more robust fusion strategies.</w:t>
      </w:r>
    </w:p>
    <w:p>
      <w:pPr>
        <w:pStyle w:val="Heading1"/>
        <w:spacing w:before="240" w:after="100" w:line="240" w:lineRule="auto"/>
        <w:ind w:firstLine="0"/>
        <w:jc w:val="left"/>
      </w:pPr>
      <w:r/>
      <w:r>
        <w:rPr>
          <w:rFonts w:ascii="Times New Roman" w:hAnsi="Times New Roman" w:eastAsia="宋体" w:cs="Times New Roman"/>
          <w:b/>
          <w:color w:val="0B2545"/>
          <w:sz w:val="26"/>
        </w:rPr>
        <w:t>References</w:t>
      </w:r>
    </w:p>
    <w:p>
      <w:pPr>
        <w:spacing w:after="80" w:line="240" w:lineRule="auto"/>
        <w:ind w:left="0" w:firstLine="0"/>
      </w:pPr>
      <w:r>
        <w:rPr>
          <w:rFonts w:ascii="Times New Roman" w:hAnsi="Times New Roman" w:eastAsia="宋体" w:cs="Times New Roman"/>
          <w:sz w:val="21"/>
        </w:rPr>
        <w:t>Arjovsky, M., Chintala, S., and Bottou, L. (2017). Wasserstein generative adversarial networks. In: Proceedings of the 34th International Conference on Machine Learning. PMLR. 70:214-223.</w:t>
      </w:r>
    </w:p>
    <w:p>
      <w:pPr>
        <w:spacing w:after="80" w:line="240" w:lineRule="auto"/>
        <w:ind w:left="0" w:firstLine="0"/>
      </w:pPr>
      <w:r>
        <w:rPr>
          <w:rFonts w:ascii="Times New Roman" w:hAnsi="Times New Roman" w:eastAsia="宋体" w:cs="Times New Roman"/>
          <w:sz w:val="21"/>
        </w:rPr>
        <w:t>Battiti, R. (1994). Using mutual information for selecting features in supervised neural net learning. IEEE Trans Neural Netw. 5(4):537-550. doi:10.1109/72.298224. PMID:18267827.</w:t>
      </w:r>
    </w:p>
    <w:p>
      <w:pPr>
        <w:spacing w:after="80" w:line="240" w:lineRule="auto"/>
        <w:ind w:left="0" w:firstLine="0"/>
      </w:pPr>
      <w:r>
        <w:rPr>
          <w:rFonts w:ascii="Times New Roman" w:hAnsi="Times New Roman" w:eastAsia="宋体" w:cs="Times New Roman"/>
          <w:sz w:val="21"/>
        </w:rPr>
        <w:t>Breiman, L. (2001). Random forests. Mach Learn. 45(1):5-32. doi:10.1023/A:1010933404324.</w:t>
      </w:r>
    </w:p>
    <w:p>
      <w:pPr>
        <w:spacing w:after="80" w:line="240" w:lineRule="auto"/>
        <w:ind w:left="0" w:firstLine="0"/>
      </w:pPr>
      <w:r>
        <w:rPr>
          <w:rFonts w:ascii="Times New Roman" w:hAnsi="Times New Roman" w:eastAsia="宋体" w:cs="Times New Roman"/>
          <w:sz w:val="21"/>
        </w:rPr>
        <w:t>Cancer Genome Atlas Network (2012). Comprehensive molecular portraits of human breast tumours. Nature. 490(7418):61-70. doi:10.1038/nature11412. PMID:23000897.</w:t>
      </w:r>
    </w:p>
    <w:p>
      <w:pPr>
        <w:spacing w:after="80" w:line="240" w:lineRule="auto"/>
        <w:ind w:left="0" w:firstLine="0"/>
      </w:pPr>
      <w:r>
        <w:rPr>
          <w:rFonts w:ascii="Times New Roman" w:hAnsi="Times New Roman" w:eastAsia="宋体" w:cs="Times New Roman"/>
          <w:sz w:val="21"/>
        </w:rPr>
        <w:t>Cancer Genome Atlas Research Network, Weinstein, J. N., Collisson, E. A., Mills, G. B., Shaw, K. R. M., Ozenberger, B. A., et al. (2013). The Cancer Genome Atlas Pan-Cancer analysis project. Nat Genet. 45(10):1113-1120. doi:10.1038/ng.2764. PMID:24071849.</w:t>
      </w:r>
    </w:p>
    <w:p>
      <w:pPr>
        <w:spacing w:after="80" w:line="240" w:lineRule="auto"/>
        <w:ind w:left="0" w:firstLine="0"/>
      </w:pPr>
      <w:r>
        <w:rPr>
          <w:rFonts w:ascii="Times New Roman" w:hAnsi="Times New Roman" w:eastAsia="宋体" w:cs="Times New Roman"/>
          <w:sz w:val="21"/>
        </w:rPr>
        <w:t>Cantini, L., Zakeri, P., Hernandez, C., Naldi, A., Thieffry, D., Remy, E., et al. (2021). Benchmarking joint multi-omics dimensionality reduction approaches for the study of cancer. Nat Commun. 12(1):124. doi:10.1038/s41467-020-20430-7. PMID:33402734.</w:t>
      </w:r>
    </w:p>
    <w:p>
      <w:pPr>
        <w:spacing w:after="80" w:line="240" w:lineRule="auto"/>
        <w:ind w:left="0" w:firstLine="0"/>
      </w:pPr>
      <w:r>
        <w:rPr>
          <w:rFonts w:ascii="Times New Roman" w:hAnsi="Times New Roman" w:eastAsia="宋体" w:cs="Times New Roman"/>
          <w:sz w:val="21"/>
        </w:rPr>
        <w:t>Chen, S., Navickas, A., and Goodarzi, H. (2024). Translational adaptation in breast cancer metastasis and emerging therapeutic opportunities. Trends Pharmacol Sci. 45(4):304-318. doi:10.1016/j.tips.2024.02.002.</w:t>
      </w:r>
    </w:p>
    <w:p>
      <w:pPr>
        <w:spacing w:after="80" w:line="240" w:lineRule="auto"/>
        <w:ind w:left="0" w:firstLine="0"/>
      </w:pPr>
      <w:r>
        <w:rPr>
          <w:rFonts w:ascii="Times New Roman" w:hAnsi="Times New Roman" w:eastAsia="宋体" w:cs="Times New Roman"/>
          <w:sz w:val="21"/>
        </w:rPr>
        <w:t>Ching, T., Himmelstein, D. S., Beaulieu-Jones, B. K., Kalinin, A. A., Do, B. T., Way, G. P., et al. (2018). Opportunities and obstacles for deep learning in biology and medicine. J R Soc Interface. 15(141):20170387. doi:10.1098/rsif.2017.0387. PMID:29618526.</w:t>
      </w:r>
    </w:p>
    <w:p>
      <w:pPr>
        <w:spacing w:after="80" w:line="240" w:lineRule="auto"/>
        <w:ind w:left="0" w:firstLine="0"/>
      </w:pPr>
      <w:r>
        <w:rPr>
          <w:rFonts w:ascii="Times New Roman" w:hAnsi="Times New Roman" w:eastAsia="宋体" w:cs="Times New Roman"/>
          <w:sz w:val="21"/>
        </w:rPr>
        <w:t>Ciriello, G., Gatza, M. L., Beck, A. H., Wilkerson, M. D., Rhie, S. K., Pastore, A., et al. (2015). Comprehensive molecular portraits of invasive lobular breast cancer. Cell. 163(2):506-519. doi:10.1016/j.cell.2015.09.033. PMID:26451490.</w:t>
      </w:r>
    </w:p>
    <w:p>
      <w:pPr>
        <w:spacing w:after="80" w:line="240" w:lineRule="auto"/>
        <w:ind w:left="0" w:firstLine="0"/>
      </w:pPr>
      <w:r>
        <w:rPr>
          <w:rFonts w:ascii="Times New Roman" w:hAnsi="Times New Roman" w:eastAsia="宋体" w:cs="Times New Roman"/>
          <w:sz w:val="21"/>
        </w:rPr>
        <w:t>Cortes, C., and Vapnik, V. (1995). Support-vector networks. Mach Learn. 20(3):273-297. doi:10.1007/BF00994018.</w:t>
      </w:r>
    </w:p>
    <w:p>
      <w:pPr>
        <w:spacing w:after="80" w:line="240" w:lineRule="auto"/>
        <w:ind w:left="0" w:firstLine="0"/>
      </w:pPr>
      <w:r>
        <w:rPr>
          <w:rFonts w:ascii="Times New Roman" w:hAnsi="Times New Roman" w:eastAsia="宋体" w:cs="Times New Roman"/>
          <w:sz w:val="21"/>
        </w:rPr>
        <w:t>Cox, D. R. (1972). Regression models and life-tables. J R Stat Soc Series B Stat Methodol. 34(2):187-202. doi:10.1111/j.2517-6161.1972.tb00899.x.</w:t>
      </w:r>
    </w:p>
    <w:p>
      <w:pPr>
        <w:spacing w:after="80" w:line="240" w:lineRule="auto"/>
        <w:ind w:left="0" w:firstLine="0"/>
      </w:pPr>
      <w:r>
        <w:rPr>
          <w:rFonts w:ascii="Times New Roman" w:hAnsi="Times New Roman" w:eastAsia="宋体" w:cs="Times New Roman"/>
          <w:sz w:val="21"/>
        </w:rPr>
        <w:t>Curtis, C., Shah, S. P., Chin, S. F., Turashvili, G., Rueda, O. M., Dunning, M. J., et al. (2012). The genomic and transcriptomic architecture of 2,000 breast tumours reveals novel subgroups. Nature. 486(7403):346-352. doi:10.1038/nature10983. PMID:22522925.</w:t>
      </w:r>
    </w:p>
    <w:p>
      <w:pPr>
        <w:spacing w:after="80" w:line="240" w:lineRule="auto"/>
        <w:ind w:left="0" w:firstLine="0"/>
      </w:pPr>
      <w:r>
        <w:rPr>
          <w:rFonts w:ascii="Times New Roman" w:hAnsi="Times New Roman" w:eastAsia="宋体" w:cs="Times New Roman"/>
          <w:sz w:val="21"/>
        </w:rPr>
        <w:t>Friedman, J. H. (2001). Greedy function approximation: a gradient boosting machine. Ann Stat. 29(5):1189-1232. doi:10.1214/aos/1013203451.</w:t>
      </w:r>
    </w:p>
    <w:p>
      <w:pPr>
        <w:spacing w:after="80" w:line="240" w:lineRule="auto"/>
        <w:ind w:left="0" w:firstLine="0"/>
      </w:pPr>
      <w:r>
        <w:rPr>
          <w:rFonts w:ascii="Times New Roman" w:hAnsi="Times New Roman" w:eastAsia="宋体" w:cs="Times New Roman"/>
          <w:sz w:val="21"/>
        </w:rPr>
        <w:t>Goodfellow, I., Pouget-Abadie, J., Mirza, M., Xu, B., Warde-Farley, D., Ozair, S., et al. (2014). Generative adversarial nets. In: Advances in Neural Information Processing Systems. 27:2672-2680. arXiv:1406.2661.</w:t>
      </w:r>
    </w:p>
    <w:p>
      <w:pPr>
        <w:spacing w:after="80" w:line="240" w:lineRule="auto"/>
        <w:ind w:left="0" w:firstLine="0"/>
      </w:pPr>
      <w:r>
        <w:rPr>
          <w:rFonts w:ascii="Times New Roman" w:hAnsi="Times New Roman" w:eastAsia="宋体" w:cs="Times New Roman"/>
          <w:sz w:val="21"/>
        </w:rPr>
        <w:t>Gulrajani, I., Ahmed, F., Arjovsky, M., Dumoulin, V., and Courville, A. (2017). Improved training of Wasserstein GANs. In: Advances in Neural Information Processing Systems. 5767-5777. arXiv:1704.00028.</w:t>
      </w:r>
    </w:p>
    <w:p>
      <w:pPr>
        <w:spacing w:after="80" w:line="240" w:lineRule="auto"/>
        <w:ind w:left="0" w:firstLine="0"/>
      </w:pPr>
      <w:r>
        <w:rPr>
          <w:rFonts w:ascii="Times New Roman" w:hAnsi="Times New Roman" w:eastAsia="宋体" w:cs="Times New Roman"/>
          <w:sz w:val="21"/>
        </w:rPr>
        <w:t>Guyon, I., and Elisseeff, A. (2003). An introduction to variable and feature selection. J Mach Learn Res. 3:1157-1182.</w:t>
      </w:r>
    </w:p>
    <w:p>
      <w:pPr>
        <w:spacing w:after="80" w:line="240" w:lineRule="auto"/>
        <w:ind w:left="0" w:firstLine="0"/>
      </w:pPr>
      <w:r>
        <w:rPr>
          <w:rFonts w:ascii="Times New Roman" w:hAnsi="Times New Roman" w:eastAsia="宋体" w:cs="Times New Roman"/>
          <w:sz w:val="21"/>
        </w:rPr>
        <w:t>Harrell, F. E. Jr., Califf, R. M., Pryor, D. B., Lee, K. L., and Rosati, R. A. (1982). Evaluating the yield of medical tests. JAMA. 247(18):2543-2546. doi:10.1001/jama.1982.03320430047030. PMID:7069920.</w:t>
      </w:r>
    </w:p>
    <w:p>
      <w:pPr>
        <w:spacing w:after="80" w:line="240" w:lineRule="auto"/>
        <w:ind w:left="0" w:firstLine="0"/>
      </w:pPr>
      <w:r>
        <w:rPr>
          <w:rFonts w:ascii="Times New Roman" w:hAnsi="Times New Roman" w:eastAsia="宋体" w:cs="Times New Roman"/>
          <w:sz w:val="21"/>
        </w:rPr>
        <w:t>He, K., Zhang, X., Ren, S., and Sun, J. (2016). Deep residual learning for image recognition. In: Proceedings of the IEEE Conference on Computer Vision and Pattern Recognition. 770-778. doi:10.1109/CVPR.2016.90.</w:t>
      </w:r>
    </w:p>
    <w:p>
      <w:pPr>
        <w:spacing w:after="80" w:line="240" w:lineRule="auto"/>
        <w:ind w:left="0" w:firstLine="0"/>
      </w:pPr>
      <w:r>
        <w:rPr>
          <w:rFonts w:ascii="Times New Roman" w:hAnsi="Times New Roman" w:eastAsia="宋体" w:cs="Times New Roman"/>
          <w:sz w:val="21"/>
        </w:rPr>
        <w:t>Hoadley, K. A., Yau, C., Wolf, D. M., Cherniack, A. D., Tamborero, D., Ng, S., et al. (2014). Multiplatform analysis of 12 cancer types reveals molecular classification within and across tissues of origin. Cell. 158(4):929-944. doi:10.1016/j.cell.2014.06.049. PMID:25109877.</w:t>
      </w:r>
    </w:p>
    <w:p>
      <w:pPr>
        <w:spacing w:after="80" w:line="240" w:lineRule="auto"/>
        <w:ind w:left="0" w:firstLine="0"/>
      </w:pPr>
      <w:r>
        <w:rPr>
          <w:rFonts w:ascii="Times New Roman" w:hAnsi="Times New Roman" w:eastAsia="宋体" w:cs="Times New Roman"/>
          <w:sz w:val="21"/>
        </w:rPr>
        <w:t>Hu, J., Shen, L., and Sun, G. (2018). Squeeze-and-excitation networks. In: Proceedings of the IEEE Conference on Computer Vision and Pattern Recognition. 7132-7141. doi:10.1109/CVPR.2018.00745.</w:t>
      </w:r>
    </w:p>
    <w:p>
      <w:pPr>
        <w:spacing w:after="80" w:line="240" w:lineRule="auto"/>
        <w:ind w:left="0" w:firstLine="0"/>
      </w:pPr>
      <w:r>
        <w:rPr>
          <w:rFonts w:ascii="Times New Roman" w:hAnsi="Times New Roman" w:eastAsia="宋体" w:cs="Times New Roman"/>
          <w:sz w:val="21"/>
        </w:rPr>
        <w:t>Ishwaran, H., Kogalur, U. B., Blackstone, E. H., and Lauer, M. S. (2008). Random survival forests. Ann Appl Stat. 2(3):841-860. doi:10.1214/08-AOAS169.</w:t>
      </w:r>
    </w:p>
    <w:p>
      <w:pPr>
        <w:spacing w:after="80" w:line="240" w:lineRule="auto"/>
        <w:ind w:left="0" w:firstLine="0"/>
      </w:pPr>
      <w:r>
        <w:rPr>
          <w:rFonts w:ascii="Times New Roman" w:hAnsi="Times New Roman" w:eastAsia="宋体" w:cs="Times New Roman"/>
          <w:sz w:val="21"/>
        </w:rPr>
        <w:t>Katzman, J. L., Shaham, U., Cloninger, A., Bates, J., Jiang, T., and Kluger, Y. (2018). DeepSurv: personalized treatment recommender system using a Cox proportional hazards deep neural network. BMC Med Res Methodol. 18(1):24. doi:10.1186/s12874-018-0482-1. PMID:29482517.</w:t>
      </w:r>
    </w:p>
    <w:p>
      <w:pPr>
        <w:spacing w:after="80" w:line="240" w:lineRule="auto"/>
        <w:ind w:left="0" w:firstLine="0"/>
      </w:pPr>
      <w:r>
        <w:rPr>
          <w:rFonts w:ascii="Times New Roman" w:hAnsi="Times New Roman" w:eastAsia="宋体" w:cs="Times New Roman"/>
          <w:sz w:val="21"/>
        </w:rPr>
        <w:t>Krizhevsky, A., Sutskever, I., and Hinton, G. E. (2012). ImageNet classification with deep convolutional neural networks. In: Advances in Neural Information Processing Systems. 25:1097-1105.</w:t>
      </w:r>
    </w:p>
    <w:p>
      <w:pPr>
        <w:spacing w:after="80" w:line="240" w:lineRule="auto"/>
        <w:ind w:left="0" w:firstLine="0"/>
      </w:pPr>
      <w:r>
        <w:rPr>
          <w:rFonts w:ascii="Times New Roman" w:hAnsi="Times New Roman" w:eastAsia="宋体" w:cs="Times New Roman"/>
          <w:sz w:val="21"/>
        </w:rPr>
        <w:t>Kursa, M. B., and Rudnicki, W. R. (2010). Feature selection with the Boruta package. J Stat Softw. 36(11):1-13. doi:10.18637/jss.v036.i11.</w:t>
      </w:r>
    </w:p>
    <w:p>
      <w:pPr>
        <w:spacing w:after="80" w:line="240" w:lineRule="auto"/>
        <w:ind w:left="0" w:firstLine="0"/>
      </w:pPr>
      <w:r>
        <w:rPr>
          <w:rFonts w:ascii="Times New Roman" w:hAnsi="Times New Roman" w:eastAsia="宋体" w:cs="Times New Roman"/>
          <w:sz w:val="21"/>
        </w:rPr>
        <w:t>LeCun, Y., Bottou, L., Bengio, Y., and Haffner, P. (1998). Gradient-based learning applied to document recognition. Proc IEEE. 86(11):2278-2324. doi:10.1109/5.726791.</w:t>
      </w:r>
    </w:p>
    <w:p>
      <w:pPr>
        <w:spacing w:after="80" w:line="240" w:lineRule="auto"/>
        <w:ind w:left="0" w:firstLine="0"/>
      </w:pPr>
      <w:r>
        <w:rPr>
          <w:rFonts w:ascii="Times New Roman" w:hAnsi="Times New Roman" w:eastAsia="宋体" w:cs="Times New Roman"/>
          <w:sz w:val="21"/>
        </w:rPr>
        <w:t>Lehmann, B. D., Bauer, J. A., Chen, X., Sanders, M. E., Chakravarthy, A. B., Shyr, Y., et al. (2011). Identification of human triple-negative breast cancer subtypes and preclinical models for selection of targeted therapies. J Clin Invest. 121(7):2750-2767. doi:10.1172/JCI45014. PMID:21633166.</w:t>
      </w:r>
    </w:p>
    <w:p>
      <w:pPr>
        <w:spacing w:after="80" w:line="240" w:lineRule="auto"/>
        <w:ind w:left="0" w:firstLine="0"/>
      </w:pPr>
      <w:r>
        <w:rPr>
          <w:rFonts w:ascii="Times New Roman" w:hAnsi="Times New Roman" w:eastAsia="宋体" w:cs="Times New Roman"/>
          <w:sz w:val="21"/>
        </w:rPr>
        <w:t>Li, Q., Liu, L., Zhang, Q., Zhang, X., Li, N., Zhao, Y., et al. (2025). MoACNN-XGNet: interpretable multi-omics convolutional network for breast cancer subtyping and prognostic genes identification. IEEE J Biomed Health Inform. Early access. doi:10.1109/JBHI.2025.3595381.</w:t>
      </w:r>
    </w:p>
    <w:p>
      <w:pPr>
        <w:spacing w:after="80" w:line="240" w:lineRule="auto"/>
        <w:ind w:left="0" w:firstLine="0"/>
      </w:pPr>
      <w:r>
        <w:rPr>
          <w:rFonts w:ascii="Times New Roman" w:hAnsi="Times New Roman" w:eastAsia="宋体" w:cs="Times New Roman"/>
          <w:sz w:val="21"/>
        </w:rPr>
        <w:t>Libbrecht, M. W., and Noble, W. S. (2015). Machine learning applications in genetics and genomics. Nat Rev Genet. 16(6):321-332. doi:10.1038/nrg3920. PMID:25948244.</w:t>
      </w:r>
    </w:p>
    <w:p>
      <w:pPr>
        <w:spacing w:after="80" w:line="240" w:lineRule="auto"/>
        <w:ind w:left="0" w:firstLine="0"/>
      </w:pPr>
      <w:r>
        <w:rPr>
          <w:rFonts w:ascii="Times New Roman" w:hAnsi="Times New Roman" w:eastAsia="宋体" w:cs="Times New Roman"/>
          <w:sz w:val="21"/>
        </w:rPr>
        <w:t>Lin, J. (1991). Divergence measures based on the Shannon entropy. IEEE Trans Inf Theory. 37(1):145-151. doi:10.1109/18.61115.</w:t>
      </w:r>
    </w:p>
    <w:p>
      <w:pPr>
        <w:spacing w:after="80" w:line="240" w:lineRule="auto"/>
        <w:ind w:left="0" w:firstLine="0"/>
      </w:pPr>
      <w:r>
        <w:rPr>
          <w:rFonts w:ascii="Times New Roman" w:hAnsi="Times New Roman" w:eastAsia="宋体" w:cs="Times New Roman"/>
          <w:sz w:val="21"/>
        </w:rPr>
        <w:t>Lundberg, S. M., and Lee, S. I. (2017). A unified approach to interpreting model predictions. In: Advances in Neural Information Processing Systems. 30:4765-4774. arXiv:1705.07874.</w:t>
      </w:r>
    </w:p>
    <w:p>
      <w:pPr>
        <w:spacing w:after="80" w:line="240" w:lineRule="auto"/>
        <w:ind w:left="0" w:firstLine="0"/>
      </w:pPr>
      <w:r>
        <w:rPr>
          <w:rFonts w:ascii="Times New Roman" w:hAnsi="Times New Roman" w:eastAsia="宋体" w:cs="Times New Roman"/>
          <w:sz w:val="21"/>
        </w:rPr>
        <w:t>Mitchel, J., Chatlin, K., Tong, L., and Wang, M. D. (2019). A translational pipeline for overall survival prediction of breast cancer patients by decision-level integration of multi-omics data. In: Proceedings IEEE International Conference on Bioinformatics and Biomedicine. 1573-1580. doi:10.1109/BIBM47256.2019.8983243. PMID:32601549.</w:t>
      </w:r>
    </w:p>
    <w:p>
      <w:pPr>
        <w:spacing w:after="80" w:line="240" w:lineRule="auto"/>
        <w:ind w:left="0" w:firstLine="0"/>
      </w:pPr>
      <w:r>
        <w:rPr>
          <w:rFonts w:ascii="Times New Roman" w:hAnsi="Times New Roman" w:eastAsia="宋体" w:cs="Times New Roman"/>
          <w:sz w:val="21"/>
        </w:rPr>
        <w:t>Parker, J. S., Mullins, M., Cheang, M. C. U., Leung, S., Voduc, D., Vickery, T., et al. (2009). Supervised risk predictor of breast cancer based on intrinsic subtypes. J Clin Oncol. 27(8):1160-1167. doi:10.1200/JCO.2008.18.1370. PMID:19204204.</w:t>
      </w:r>
    </w:p>
    <w:p>
      <w:pPr>
        <w:spacing w:after="80" w:line="240" w:lineRule="auto"/>
        <w:ind w:left="0" w:firstLine="0"/>
      </w:pPr>
      <w:r>
        <w:rPr>
          <w:rFonts w:ascii="Times New Roman" w:hAnsi="Times New Roman" w:eastAsia="宋体" w:cs="Times New Roman"/>
          <w:sz w:val="21"/>
        </w:rPr>
        <w:t>Peng, H., Long, F., and Ding, C. (2005). Feature selection based on mutual information: criteria of max-dependency, max-relevance, and min-redundancy. IEEE Trans Pattern Anal Mach Intell. 27(8):1226-1238. doi:10.1109/TPAMI.2005.159. PMID:16119262.</w:t>
      </w:r>
    </w:p>
    <w:p>
      <w:pPr>
        <w:spacing w:after="80" w:line="240" w:lineRule="auto"/>
        <w:ind w:left="0" w:firstLine="0"/>
      </w:pPr>
      <w:r>
        <w:rPr>
          <w:rFonts w:ascii="Times New Roman" w:hAnsi="Times New Roman" w:eastAsia="宋体" w:cs="Times New Roman"/>
          <w:sz w:val="21"/>
        </w:rPr>
        <w:t>Perou, C. M., Sørlie, T., Eisen, M. B., van de Rijn, M., Jeffrey, S. S., Rees, C. A., et al. (2000). Molecular portraits of human breast tumours. Nature. 406(6797):747-752. doi:10.1038/35021093. PMID:10963602.</w:t>
      </w:r>
    </w:p>
    <w:p>
      <w:r>
        <w:t>Pölsterl, S. (2020). scikit-survival: A library for time-to-event analysis built on top of scikit-learn. J Mach Learn Res. 21(212):1-6.</w:t>
      </w:r>
    </w:p>
    <w:p>
      <w:r>
        <w:t>Raudvere, U., Kolberg, L., Kuzmin, I., Arak, T., Adler, P., Peterson, H., and Vilo, J. (2019). g:Profiler: a web server for functional enrichment analysis and conversions of gene lists (2019 update). Nucleic Acids Res. 47(W1):W191-W198. doi:10.1093/nar/gkz369.</w:t>
      </w:r>
    </w:p>
    <w:p>
      <w:pPr>
        <w:spacing w:after="80" w:line="240" w:lineRule="auto"/>
        <w:ind w:left="0" w:firstLine="0"/>
      </w:pPr>
      <w:r>
        <w:rPr>
          <w:rFonts w:ascii="Times New Roman" w:hAnsi="Times New Roman" w:eastAsia="宋体" w:cs="Times New Roman"/>
          <w:sz w:val="21"/>
        </w:rPr>
        <w:t>Ribeiro, M. T., Singh, S., and Guestrin, C. (2016). "Why should I trust you?": explaining the predictions of any classifier. In: Proceedings of the 22nd ACM SIGKDD International Conference on Knowledge Discovery and Data Mining. 1135-1144. doi:10.1145/2939672.2939778.</w:t>
      </w:r>
    </w:p>
    <w:p>
      <w:pPr>
        <w:spacing w:after="80" w:line="240" w:lineRule="auto"/>
        <w:ind w:left="0" w:firstLine="0"/>
      </w:pPr>
      <w:r>
        <w:rPr>
          <w:rFonts w:ascii="Times New Roman" w:hAnsi="Times New Roman" w:eastAsia="宋体" w:cs="Times New Roman"/>
          <w:sz w:val="21"/>
        </w:rPr>
        <w:t>Ronneberger, O., Fischer, P., and Brox, T. (2015). U-Net: convolutional networks for biomedical image segmentation. In: Medical Image Computing and Computer-Assisted Intervention - MICCAI 2015. 234-241. doi:10.1007/978-3-319-24574-4_28.</w:t>
      </w:r>
    </w:p>
    <w:p>
      <w:pPr>
        <w:spacing w:after="80" w:line="240" w:lineRule="auto"/>
        <w:ind w:left="0" w:firstLine="0"/>
      </w:pPr>
      <w:r>
        <w:rPr>
          <w:rFonts w:ascii="Times New Roman" w:hAnsi="Times New Roman" w:eastAsia="宋体" w:cs="Times New Roman"/>
          <w:sz w:val="21"/>
        </w:rPr>
        <w:t>Selvaraju, R. R., Cogswell, M., Das, A., Vedantam, R., Parikh, D., and Batra, D. (2017). Grad-CAM: visual explanations from deep networks via gradient-based localization. In: Proceedings of the IEEE International Conference on Computer Vision. 618-626. doi:10.1109/ICCV.2017.74.</w:t>
      </w:r>
    </w:p>
    <w:p>
      <w:pPr>
        <w:spacing w:after="80" w:line="240" w:lineRule="auto"/>
        <w:ind w:left="0" w:firstLine="0"/>
      </w:pPr>
      <w:r>
        <w:rPr>
          <w:rFonts w:ascii="Times New Roman" w:hAnsi="Times New Roman" w:eastAsia="宋体" w:cs="Times New Roman"/>
          <w:sz w:val="21"/>
        </w:rPr>
        <w:t>Sharma, A., Vans, E., Shigemizu, D., Boroevich, K. A., and Tsunoda, T. (2019). DeepInsight: a methodology to transform a non-image data to an image for convolution neural network architecture. Sci Rep. 9(1):11399. doi:10.1038/s41598-019-47765-6. PMID:31388036.</w:t>
      </w:r>
    </w:p>
    <w:p>
      <w:pPr>
        <w:spacing w:after="80" w:line="240" w:lineRule="auto"/>
        <w:ind w:left="0" w:firstLine="0"/>
      </w:pPr>
      <w:r>
        <w:rPr>
          <w:rFonts w:ascii="Times New Roman" w:hAnsi="Times New Roman" w:eastAsia="宋体" w:cs="Times New Roman"/>
          <w:sz w:val="21"/>
        </w:rPr>
        <w:t>Sharma, A., Lysenko, A., Boroevich, K. A., and Tsunoda, T. (2023). DeepInsight-3D architecture for anti-cancer drug response prediction with deep-learning on multi-omics. Sci Rep. 13(1):2483. doi:10.1038/s41598-023-29644-3. PMID:36774402.</w:t>
      </w:r>
    </w:p>
    <w:p>
      <w:pPr>
        <w:spacing w:after="80" w:line="240" w:lineRule="auto"/>
        <w:ind w:left="0" w:firstLine="0"/>
      </w:pPr>
      <w:r>
        <w:rPr>
          <w:rFonts w:ascii="Times New Roman" w:hAnsi="Times New Roman" w:eastAsia="宋体" w:cs="Times New Roman"/>
          <w:sz w:val="21"/>
        </w:rPr>
        <w:t>Shi, F., Wang, M., Teng, Z., Cai, L., Liu, G., Xing, Y., et al. (2026). HDGS-Net: nucleosome occupancy prediction based on a hybrid dilated gated separable convolutional neural network. BMC Genomics. 27(1):209. doi:10.1186/s12864-026-12523-2.</w:t>
      </w:r>
    </w:p>
    <w:p>
      <w:pPr>
        <w:spacing w:after="80" w:line="240" w:lineRule="auto"/>
        <w:ind w:left="0" w:firstLine="0"/>
      </w:pPr>
      <w:r>
        <w:rPr>
          <w:rFonts w:ascii="Times New Roman" w:hAnsi="Times New Roman" w:eastAsia="宋体" w:cs="Times New Roman"/>
          <w:sz w:val="21"/>
        </w:rPr>
        <w:t>Simonyan, K., Vedaldi, A., and Zisserman, A. (2014). Deep inside convolutional networks: visualising image classification models and saliency maps. arXiv:1312.6034.</w:t>
      </w:r>
    </w:p>
    <w:p>
      <w:pPr>
        <w:spacing w:after="80" w:line="240" w:lineRule="auto"/>
        <w:ind w:left="0" w:firstLine="0"/>
      </w:pPr>
      <w:r>
        <w:rPr>
          <w:rFonts w:ascii="Times New Roman" w:hAnsi="Times New Roman" w:eastAsia="宋体" w:cs="Times New Roman"/>
          <w:sz w:val="21"/>
        </w:rPr>
        <w:t>Subramanian, I., Verma, S., Kumar, S., Jere, A., and Anamika, K. (2020). Multi-omics data integration, interpretation, and its application. Bioinform Biol Insights. 14:1177932219899051. doi:10.1177/1177932219899051. PMID:32076369.</w:t>
      </w:r>
    </w:p>
    <w:p>
      <w:pPr>
        <w:spacing w:after="80" w:line="240" w:lineRule="auto"/>
        <w:ind w:left="0" w:firstLine="0"/>
      </w:pPr>
      <w:r>
        <w:rPr>
          <w:rFonts w:ascii="Times New Roman" w:hAnsi="Times New Roman" w:eastAsia="宋体" w:cs="Times New Roman"/>
          <w:sz w:val="21"/>
        </w:rPr>
        <w:t>Sui, W., Wang, J., Miao, D., Jiang, Y., Liu, G., Yang, S., et al. (2026). The Evolution of Modeling Approaches: From Statistical Models to Deep Learning for Locust and Grasshopper Forecasting. Insects. 17(2):182. doi:10.3390/insects17020182.</w:t>
      </w:r>
    </w:p>
    <w:p>
      <w:pPr>
        <w:spacing w:after="80" w:line="240" w:lineRule="auto"/>
        <w:ind w:left="0" w:firstLine="0"/>
      </w:pPr>
      <w:r>
        <w:rPr>
          <w:rFonts w:ascii="Times New Roman" w:hAnsi="Times New Roman" w:eastAsia="宋体" w:cs="Times New Roman"/>
          <w:sz w:val="21"/>
        </w:rPr>
        <w:t>Sørlie, T., Perou, C. M., Tibshirani, R., Aas, T., Geisler, S., Johnsen, H., et al. (2001). Gene expression patterns of breast carcinomas distinguish tumor subclasses with clinical implications. Proc Natl Acad Sci U S A. 98(19):10869-10874. doi:10.1073/pnas.191367098. PMID:11553815.</w:t>
      </w:r>
    </w:p>
    <w:p>
      <w:r>
        <w:t>Szklarczyk, D., Kirsch, R., Koutrouli, M., Nastou, K., Mehryary, F., Hachilif, R., et al. (2023). The STRING database in 2023: protein-protein association networks and functional enrichment analyses for any sequenced genome of interest. Nucleic Acids Res. 51(D1):D638-D646. doi:10.1093/nar/gkac1000.</w:t>
      </w:r>
    </w:p>
    <w:p>
      <w:pPr>
        <w:spacing w:after="80" w:line="240" w:lineRule="auto"/>
        <w:ind w:left="0" w:firstLine="0"/>
      </w:pPr>
      <w:r>
        <w:rPr>
          <w:rFonts w:ascii="Times New Roman" w:hAnsi="Times New Roman" w:eastAsia="宋体" w:cs="Times New Roman"/>
          <w:sz w:val="21"/>
        </w:rPr>
        <w:t>Tibshirani, R. (1996). Regression shrinkage and selection via the lasso. J R Stat Soc Series B Stat Methodol. 58(1):267-288. doi:10.1111/j.2517-6161.1996.tb02080.x.</w:t>
      </w:r>
    </w:p>
    <w:p>
      <w:pPr>
        <w:spacing w:after="80" w:line="240" w:lineRule="auto"/>
        <w:ind w:left="0" w:firstLine="0"/>
      </w:pPr>
      <w:r>
        <w:rPr>
          <w:rFonts w:ascii="Times New Roman" w:hAnsi="Times New Roman" w:eastAsia="宋体" w:cs="Times New Roman"/>
          <w:sz w:val="21"/>
        </w:rPr>
        <w:t>Uno, H., Cai, T., Pencina, M. J., D'Agostino, R. B., and Wei, L. J. (2011). On the C-statistics for evaluating overall adequacy of risk prediction procedures with censored survival data. Stat Med. 30(10):1105-1117. doi:10.1002/sim.4154. PMID:21484848.</w:t>
      </w:r>
    </w:p>
    <w:p>
      <w:pPr>
        <w:spacing w:after="80" w:line="240" w:lineRule="auto"/>
        <w:ind w:left="0" w:firstLine="0"/>
      </w:pPr>
      <w:r>
        <w:rPr>
          <w:rFonts w:ascii="Times New Roman" w:hAnsi="Times New Roman" w:eastAsia="宋体" w:cs="Times New Roman"/>
          <w:sz w:val="21"/>
        </w:rPr>
        <w:t>Vaswani, A., Shazeer, N., Parmar, N., Uszkoreit, J., Jones, L., Gomez, A. N., et al. (2017). Attention is all you need. In: Advances in Neural Information Processing Systems. 30:5998-6008. arXiv:1706.03762.</w:t>
      </w:r>
    </w:p>
    <w:p>
      <w:pPr>
        <w:spacing w:after="80" w:line="240" w:lineRule="auto"/>
        <w:ind w:left="0" w:firstLine="0"/>
      </w:pPr>
      <w:r>
        <w:rPr>
          <w:rFonts w:ascii="Times New Roman" w:hAnsi="Times New Roman" w:eastAsia="宋体" w:cs="Times New Roman"/>
          <w:sz w:val="21"/>
        </w:rPr>
        <w:t>Wang, S., Liu, Y., Zhang, H., and Liu, Z. (2024). SurvConvMixer: robust and interpretable cancer survival prediction based on ConvMixer using pathway-level gene expression images. BMC Bioinformatics. 25(1):133. doi:10.1186/s12859-024-05745-2.</w:t>
      </w:r>
    </w:p>
    <w:p>
      <w:pPr>
        <w:spacing w:after="80" w:line="240" w:lineRule="auto"/>
        <w:ind w:left="0" w:firstLine="0"/>
      </w:pPr>
      <w:r>
        <w:rPr>
          <w:rFonts w:ascii="Times New Roman" w:hAnsi="Times New Roman" w:eastAsia="宋体" w:cs="Times New Roman"/>
          <w:sz w:val="21"/>
        </w:rPr>
        <w:t>Yan, M., Dong, Z., Zhu, Z., Qiao, C., Wang, M., Teng, Z., et al. (2025). Cancer type and survival prediction based on transcriptomic feature map. Comput Biol Med. 192:110267. doi:10.1016/j.compbiomed.2025.110267. PMID:40311464.</w:t>
      </w:r>
    </w:p>
    <w:p>
      <w:pPr>
        <w:spacing w:after="80" w:line="240" w:lineRule="auto"/>
        <w:ind w:left="0" w:firstLine="0"/>
      </w:pPr>
      <w:r>
        <w:rPr>
          <w:rFonts w:ascii="Times New Roman" w:hAnsi="Times New Roman" w:eastAsia="宋体" w:cs="Times New Roman"/>
          <w:sz w:val="21"/>
        </w:rPr>
        <w:t>Zou, H., and Hastie, T. (2005). Regularization and variable selection via the elastic net. J R Stat Soc Series B Stat Methodol. 67(2):301-320. doi:10.1111/j.1467-9868.2005.00503.x.</w:t>
      </w:r>
    </w:p>
    <w:p>
      <w:pPr>
        <w:spacing w:after="80" w:line="240" w:lineRule="auto"/>
        <w:ind w:left="0" w:firstLine="0"/>
      </w:pPr>
      <w:r>
        <w:rPr>
          <w:rFonts w:ascii="Times New Roman" w:hAnsi="Times New Roman" w:eastAsia="宋体" w:cs="Times New Roman"/>
          <w:sz w:val="21"/>
        </w:rPr>
        <w:t>Zou, J., Huss, M., Abid, A., Mohammadi, P., Torkamani, A., and Telenti, A. (2019). A primer on deep learning in genomics. Nat Genet. 51(1):12-18. doi:10.1038/s41588-018-0295-5. PMID:30478442.</w:t>
      </w:r>
    </w:p>
    <w:p>
      <w:pPr>
        <w:pStyle w:val="Heading1"/>
        <w:spacing w:before="320" w:after="140" w:line="240" w:lineRule="auto"/>
        <w:ind w:firstLine="0"/>
        <w:jc w:val="left"/>
      </w:pPr>
      <w:r/>
      <w:r>
        <w:rPr>
          <w:rFonts w:ascii="Times New Roman" w:hAnsi="Times New Roman" w:eastAsia="宋体" w:cs="Times New Roman"/>
          <w:b/>
          <w:color w:val="0B2545"/>
          <w:sz w:val="26"/>
        </w:rPr>
        <w:t>Author Contributions</w:t>
      </w:r>
    </w:p>
    <w:p>
      <w:pPr>
        <w:spacing w:after="120" w:line="240" w:lineRule="auto"/>
        <w:ind w:firstLine="0"/>
        <w:jc w:val="both"/>
      </w:pPr>
      <w:r>
        <w:rPr/>
        <w:t>Hu Meng: Conceptualization, Methodology, Software, Formal analysis, Investigation, Visualization, Writing – original draft. Bingye Li: Data curation, Software, Validation, Writing – review &amp; editing. Zhihao Du: Formal analysis, Validation, Writing – review &amp; editing. Zhixia Teng: Methodology, Software, Writing – review &amp; editing. Yongqiang Xing: Resources, Validation, Writing – review &amp; editing. Qing Yang: Data curation, Investigation, Writing – review &amp; editing. Guoqing Liu: Supervision, Funding acquisition, Writing – review &amp; editing. Lu Cai: Conceptualization, Supervision, Project administration, Funding acquisition, Writing – review &amp; editing.</w:t>
      </w:r>
    </w:p>
    <w:p>
      <w:pPr>
        <w:pStyle w:val="Heading1"/>
        <w:spacing w:before="240" w:after="100" w:line="240" w:lineRule="auto"/>
        <w:ind w:firstLine="0"/>
        <w:jc w:val="left"/>
      </w:pPr>
      <w:r>
        <w:rPr>
          <w:rFonts w:ascii="Times New Roman" w:hAnsi="Times New Roman" w:eastAsia="宋体" w:cs="Times New Roman"/>
          <w:b/>
          <w:color w:val="0B2545"/>
          <w:sz w:val="26"/>
        </w:rPr>
        <w:t>Conflict of Interest</w:t>
      </w:r>
    </w:p>
    <w:p>
      <w:pPr>
        <w:spacing w:after="120" w:line="240" w:lineRule="auto"/>
        <w:ind w:firstLine="0"/>
        <w:jc w:val="both"/>
      </w:pPr>
      <w:r>
        <w:rPr>
          <w:rFonts w:ascii="Times New Roman" w:hAnsi="Times New Roman" w:eastAsia="宋体" w:cs="Times New Roman"/>
          <w:b w:val="0"/>
          <w:sz w:val="22"/>
        </w:rPr>
        <w:t>The authors declare that they have no known competing financial interests or personal relationships that could have appeared to influence the work reported in this paper.</w:t>
      </w:r>
    </w:p>
    <w:p>
      <w:pPr>
        <w:pStyle w:val="Heading1"/>
        <w:spacing w:before="240" w:after="100" w:line="240" w:lineRule="auto"/>
        <w:ind w:firstLine="0"/>
        <w:jc w:val="left"/>
      </w:pPr>
      <w:r>
        <w:rPr>
          <w:rFonts w:ascii="Times New Roman" w:hAnsi="Times New Roman" w:eastAsia="宋体" w:cs="Times New Roman"/>
          <w:b/>
          <w:color w:val="0B2545"/>
          <w:sz w:val="26"/>
        </w:rPr>
        <w:t>Funding</w:t>
      </w:r>
    </w:p>
    <w:p>
      <w:pPr>
        <w:spacing w:after="120" w:line="240" w:lineRule="auto"/>
        <w:ind w:firstLine="0"/>
        <w:jc w:val="both"/>
      </w:pPr>
      <w:r>
        <w:rPr/>
        <w:t>This work was supported by the National Natural Science Foundation of China (No. 62271132); the National Natural Science Foundation of China Key Program (No. 62231013); the Natural Science Foundation of Inner Mongolia (No. 2025MS03116); and the 2025/2026 Inner Mongolia Key Laboratory of Life Health and Bioinformatics Project (2025KYPT0135/2026KYPT0062).</w:t>
      </w:r>
    </w:p>
    <w:p>
      <w:pPr>
        <w:pStyle w:val="Heading1"/>
        <w:spacing w:before="240" w:after="100" w:line="240" w:lineRule="auto"/>
        <w:ind w:firstLine="0"/>
        <w:jc w:val="left"/>
      </w:pPr>
      <w:r>
        <w:rPr>
          <w:rFonts w:ascii="Times New Roman" w:hAnsi="Times New Roman" w:eastAsia="宋体" w:cs="Times New Roman"/>
          <w:b/>
          <w:color w:val="0B2545"/>
          <w:sz w:val="26"/>
        </w:rPr>
        <w:t>Ethics Approval</w:t>
      </w:r>
    </w:p>
    <w:p>
      <w:pPr>
        <w:spacing w:after="120" w:line="240" w:lineRule="auto"/>
        <w:ind w:firstLine="0"/>
        <w:jc w:val="both"/>
      </w:pPr>
      <w:r>
        <w:rPr>
          <w:rFonts w:ascii="Times New Roman" w:hAnsi="Times New Roman" w:eastAsia="宋体" w:cs="Times New Roman"/>
          <w:b w:val="0"/>
          <w:sz w:val="22"/>
        </w:rPr>
        <w:t>Not applicable. This study used only publicly available, de-identified data from The Cancer Genome Atlas (TCGA-BRCA); no new human participants, animal subjects, or patient samples were involved.</w:t>
      </w:r>
    </w:p>
    <w:p>
      <w:pPr>
        <w:pStyle w:val="Heading1"/>
        <w:spacing w:before="240" w:after="100" w:line="240" w:lineRule="auto"/>
        <w:ind w:firstLine="0"/>
        <w:jc w:val="left"/>
      </w:pPr>
      <w:r>
        <w:rPr>
          <w:rFonts w:ascii="Times New Roman" w:hAnsi="Times New Roman" w:eastAsia="宋体" w:cs="Times New Roman"/>
          <w:b/>
          <w:color w:val="0B2545"/>
          <w:sz w:val="26"/>
        </w:rPr>
        <w:t>Data Availability Statement</w:t>
      </w:r>
    </w:p>
    <w:p>
      <w:pPr>
        <w:spacing w:after="120" w:line="240" w:lineRule="auto"/>
        <w:ind w:firstLine="0"/>
        <w:jc w:val="both"/>
      </w:pPr>
      <w:r>
        <w:rPr>
          <w:rFonts w:ascii="Times New Roman" w:hAnsi="Times New Roman" w:eastAsia="宋体" w:cs="Times New Roman"/>
          <w:b w:val="0"/>
          <w:sz w:val="22"/>
        </w:rPr>
        <w:t>The raw public data are available from the NCI Genomic Data Commons (project TCGA-BRCA) and UCSC Xena. Processed data, feature-selection and modeling code, JSD images, result tables, supplementary material, and reproducibility notes are available in the GitHub repository Supervised_distribution_divergence_omics_imaging_breast_cancer (https://github.com/381521602/Supervised_distribution_divergence_omics_imaging_breast_cancer).</w:t>
      </w:r>
    </w:p>
    <w:p>
      <w:pPr>
        <w:pStyle w:val="Heading1"/>
        <w:spacing w:before="240" w:after="100" w:line="240" w:lineRule="auto"/>
        <w:ind w:firstLine="0"/>
        <w:jc w:val="left"/>
      </w:pPr>
      <w:r>
        <w:rPr>
          <w:rFonts w:ascii="Times New Roman" w:hAnsi="Times New Roman" w:eastAsia="宋体" w:cs="Times New Roman"/>
          <w:b/>
          <w:color w:val="0B2545"/>
          <w:sz w:val="26"/>
        </w:rPr>
        <w:t>Acknowledgments</w:t>
      </w:r>
    </w:p>
    <w:p>
      <w:pPr>
        <w:spacing w:after="120" w:line="240" w:lineRule="auto"/>
        <w:ind w:firstLine="0"/>
        <w:jc w:val="both"/>
      </w:pPr>
      <w:r>
        <w:rPr/>
        <w:t>None.</w:t>
      </w:r>
    </w:p>
    <w:sectPr w:rsidR="00FC693F" w:rsidRPr="0006063C" w:rsidSect="00034616">
      <w:footerReference w:type="default" r:id="rId9"/>
      <w:pgSz w:w="12240" w:h="15840"/>
      <w:pgMar w:top="1440" w:right="1440" w:bottom="1440" w:left="1440" w:header="708" w:footer="708"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555555"/>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s="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