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微软雅黑" w:cs="Times New Roman"/>
          <w:b/>
          <w:color w:val="0B2545"/>
          <w:sz w:val="30"/>
        </w:rPr>
        <w:t>Interpretable distribution-divergence-guided omics imaging and multi-omics integration for breast cancer molecular subtype reconstruction and survival risk modeling</w:t>
      </w:r>
    </w:p>
    <w:p>
      <w:pPr>
        <w:spacing w:after="160"/>
        <w:jc w:val="center"/>
      </w:pPr>
      <w:r>
        <w:rPr>
          <w:rFonts w:ascii="Times New Roman" w:hAnsi="Times New Roman" w:eastAsia="宋体" w:cs="Times New Roman"/>
          <w:b/>
          <w:color w:val="1F4D78"/>
          <w:sz w:val="24"/>
        </w:rPr>
        <w:t>可解释的监督式分布散度引导组学图像化与多组学整合用于乳腺癌分子亚型重建和生存风险建模</w:t>
      </w:r>
    </w:p>
    <w:p>
      <w:pPr>
        <w:spacing w:after="240"/>
        <w:jc w:val="center"/>
      </w:pPr>
      <w:r>
        <w:rPr>
          <w:rFonts w:ascii="Times New Roman" w:hAnsi="Times New Roman" w:eastAsia="宋体" w:cs="Times New Roman"/>
          <w:b w:val="0"/>
          <w:color w:val="555555"/>
          <w:sz w:val="18"/>
        </w:rPr>
        <w:t>中文初稿 · Original Research 准备稿 · 与 Frontiers Research Topic “Molecular Stress Responses and Adaptive Reprogramming in Disease Progression and Therapy” 对齐</w:t>
      </w:r>
    </w:p>
    <w:p>
      <w:pPr>
        <w:pStyle w:val="Heading1"/>
        <w:spacing w:before="320" w:after="140"/>
        <w:jc w:val="left"/>
      </w:pPr>
      <w:r>
        <w:rPr>
          <w:rFonts w:ascii="Times New Roman" w:hAnsi="Times New Roman" w:eastAsia="微软雅黑" w:cs="Times New Roman"/>
          <w:b/>
          <w:color w:val="2E74B5"/>
          <w:sz w:val="32"/>
        </w:rPr>
        <w:t>摘要</w:t>
      </w:r>
    </w:p>
    <w:p>
      <w:pPr>
        <w:spacing w:after="120" w:line="300" w:lineRule="auto"/>
        <w:ind w:firstLine="420"/>
        <w:jc w:val="both"/>
      </w:pPr>
      <w:r>
        <w:rPr>
          <w:rFonts w:ascii="Times New Roman" w:hAnsi="Times New Roman" w:eastAsia="宋体" w:cs="Times New Roman"/>
          <w:b w:val="0"/>
          <w:sz w:val="21"/>
        </w:rPr>
        <w:t>背景：乳腺癌的高度异质性使单一组学难以稳定刻画 PAM50 分子亚型和总生存风险。多组学整合具有理论上的互补优势，但组学数据存在特征维度高、样本量有限、分布尺度不一致以及特征之间缺乏自然二维邻接关系等问题。</w:t>
      </w:r>
    </w:p>
    <w:p>
      <w:pPr>
        <w:spacing w:after="120" w:line="300" w:lineRule="auto"/>
        <w:ind w:firstLine="420"/>
        <w:jc w:val="both"/>
      </w:pPr>
      <w:r>
        <w:rPr>
          <w:rFonts w:ascii="Times New Roman" w:hAnsi="Times New Roman" w:eastAsia="宋体" w:cs="Times New Roman"/>
          <w:b w:val="0"/>
          <w:sz w:val="21"/>
        </w:rPr>
        <w:t>方法：本研究以 TCGA-BRCA 的 mRNA、CNV 和 miRNA 为对象，提出一种监督式分布散度引导的组学空间表示框架（supervised information-divergence-guided omics spatial representation framework），即以 Jensen–Shannon divergence（JSD）评估每个特征的判别重要性，并将其编码为可解释的空间表示。固定特征数配置下，特征提取、标准化和模型拟合均在 5 折交叉验证训练折内完成；主分析的特征数选择与最终评估共用同一交叉验证，因此作为探索性估计，并以 nested repeated CV 进行敏感性分析。按 JSD 重要性降序并将高分特征置于中心，采用中心向外螺旋填充形成单通道灰度图，再输入全尺寸卷积神经网络（FullSizeCNN）。同时比较 LogisticRegression、RandomForest、GradientBoosting、SVC、KNN、MLP、CoxPH 及多种多组学融合策略。</w:t>
      </w:r>
    </w:p>
    <w:p>
      <w:pPr>
        <w:spacing w:after="120" w:line="300" w:lineRule="auto"/>
        <w:ind w:firstLine="420"/>
        <w:jc w:val="both"/>
      </w:pPr>
      <w:r>
        <w:rPr>
          <w:rFonts w:ascii="Times New Roman" w:hAnsi="Times New Roman" w:eastAsia="宋体" w:cs="Times New Roman"/>
          <w:b w:val="0"/>
          <w:sz w:val="21"/>
        </w:rPr>
        <w:t>结果：在单组学 PAM50 四分类的探索性 5 折交叉验证中，mRNA LogisticRegression 的 Accuracy 为 0.9628±0.0167、Macro-F1 为 0.9575±0.0199；CNV 最优 MLP 为 0.7213±0.0156；miRNA 最优 LogisticRegression 为 0.8410±0.0120。无泄漏 nested repeated CV 中，mRNA PAM50 的 LogisticRegression、Dense 和 FullSizeCNN Accuracy 分别为 0.8392、0.8449 和 0.8510，说明性能对特征筛选与建模流程敏感。生存风险建模中，mRNA FullSizeCNN 的 C-index 为 0.7125±0.0303，CNV CoxPH 为 0.7109±0.0339，miRNA FullSizeCNN 为 0.6067±0.0703。多组学整合中，PAM50 的 Transformer 达到 Accuracy 0.9270±0.0132、Macro-F1 0.9288±0.0128；生存风险建模的三组学 Concat MLP 达到 C-index 0.7588±0.0492，CNN 晚期平均融合达到 ROC AUC 0.7591±0.0619。配对检验未提供存在统计可检测差异的证据（所有 p≥0.093）。Dense 等价基线与 FullSizeCNN 表现相当或更优，而 JSD 引导的螺旋排序并未显著优于随机排列，说明图像化的主要价值在于可解释性而非预测增益。可解释分析识别出 ESR1、TFF1、AGR3、FOXC1、MIA、FABP7、CCL19、MS4A1 等关键因子，富集于雌激素信号、细胞增殖调控、细胞分裂和上皮发育等通路。方案2功能类别遮盖分析在控制特征集合大小后，未能建立稳健的类别特异效应。</w:t>
      </w:r>
    </w:p>
    <w:p>
      <w:pPr>
        <w:spacing w:after="120" w:line="300" w:lineRule="auto"/>
        <w:ind w:firstLine="420"/>
        <w:jc w:val="both"/>
      </w:pPr>
      <w:r>
        <w:rPr>
          <w:rFonts w:ascii="Times New Roman" w:hAnsi="Times New Roman" w:eastAsia="宋体" w:cs="Times New Roman"/>
          <w:b w:val="0"/>
          <w:sz w:val="21"/>
        </w:rPr>
        <w:t>结论：监督式分布散度引导的组学空间表示框架能够把高维组学特征转换为适合全尺寸卷积建模的可解释图像坐标，并支持关键因子可视化。mRNA 是 PAM50 亚型重建的主要信号；生存风险建模显示多组学融合具有数值提升但未达到统计显著，提示存在需要独立验证的潜在互补信息。该表示的主要价值是可解释性而非由人工二维邻接带来的预测精度提升。</w:t>
      </w:r>
    </w:p>
    <w:p>
      <w:pPr>
        <w:spacing w:after="120" w:line="300" w:lineRule="auto"/>
        <w:ind w:firstLine="420"/>
        <w:jc w:val="both"/>
      </w:pPr>
      <w:r>
        <w:rPr>
          <w:rFonts w:ascii="Times New Roman" w:hAnsi="Times New Roman" w:eastAsia="宋体" w:cs="Times New Roman"/>
          <w:b w:val="0"/>
          <w:sz w:val="21"/>
        </w:rPr>
        <w:t>关键词：乳腺癌；多组学；组学图像化；Jensen–Shannon divergence；全尺寸卷积；PAM50；生存风险建模</w:t>
      </w:r>
    </w:p>
    <w:p>
      <w:pPr>
        <w:pStyle w:val="Heading1"/>
        <w:spacing w:before="320" w:after="140"/>
        <w:jc w:val="left"/>
      </w:pPr>
      <w:r>
        <w:rPr>
          <w:rFonts w:ascii="Times New Roman" w:hAnsi="Times New Roman" w:eastAsia="微软雅黑" w:cs="Times New Roman"/>
          <w:b/>
          <w:color w:val="2E74B5"/>
          <w:sz w:val="32"/>
        </w:rPr>
        <w:t>1. 引言</w:t>
      </w:r>
    </w:p>
    <w:p>
      <w:pPr>
        <w:spacing w:after="120" w:line="300" w:lineRule="auto"/>
        <w:ind w:firstLine="440"/>
        <w:jc w:val="both"/>
      </w:pPr>
      <w:r>
        <w:rPr>
          <w:rFonts w:ascii="Times New Roman" w:hAnsi="Times New Roman" w:eastAsia="宋体" w:cs="Times New Roman"/>
          <w:b w:val="0"/>
          <w:sz w:val="22"/>
        </w:rPr>
        <w:t>乳腺癌是全球女性最常见的恶性肿瘤之一，其发生、进展和治疗反应受遗传、转录、表观遗传及微环境等多层因素调控，分子与临床异质性极高[1-3]。基于基因表达的固有分子分型（intrinsic subtypes）将乳腺癌划分为 Luminal A、Luminal B、Basal-like、HER2-enriched 和 Normal-like 等亚型，其中 PAM50 基因集已成为分子分型和复发风险估计的重要工具[3]。大型基因组研究进一步表明，乳腺癌的分子景观同时受细胞突变、拷贝数变异（copy number variation, CNV）、转录组和 miRNA 等事件共同塑造[4-5]；三阴性乳腺癌、浸润性小叶癌等亚型内部也存在可重复的分子亚群[6-7]。总生存期（overall survival, OS）直接反映患者长期结局，因此从多组学层面同时刻画 PAM50 亚型和生存风险具有明确的临床转化价值。</w:t>
      </w:r>
    </w:p>
    <w:p>
      <w:pPr>
        <w:spacing w:after="120" w:line="300" w:lineRule="auto"/>
        <w:ind w:firstLine="440"/>
        <w:jc w:val="both"/>
      </w:pPr>
      <w:r>
        <w:rPr>
          <w:rFonts w:ascii="Times New Roman" w:hAnsi="Times New Roman" w:eastAsia="宋体" w:cs="Times New Roman"/>
          <w:b w:val="0"/>
          <w:sz w:val="22"/>
        </w:rPr>
        <w:t>The Cancer Genome Atlas（TCGA）及其泛癌计划（Pan-Cancer Analysis Project）提供了大规模、多平台、公开可及的肿瘤分子数据，使系统比较乳腺癌及其他癌种的跨组学分子模式成为可能[4,8]。多平台分析显示，组织起源和分子亚型共同决定肿瘤的全局分子特征，单一组学往往只能捕捉部分信号[9]。多组学数据整合被普遍认为能够融合互补信息，并已在癌症分类、预后建模和药物反应预测等任务中取得进展[10-11]。然而，多组学整合仍然面临特征维度高、有效样本量有限、不同组学分布尺度不一致、数据缺失和批间差异等挑战，直接构建可解释且可重复的预测模型并不容易。</w:t>
      </w:r>
    </w:p>
    <w:p>
      <w:pPr>
        <w:spacing w:after="120" w:line="300" w:lineRule="auto"/>
        <w:ind w:firstLine="440"/>
        <w:jc w:val="both"/>
      </w:pPr>
      <w:r>
        <w:rPr>
          <w:rFonts w:ascii="Times New Roman" w:hAnsi="Times New Roman" w:eastAsia="宋体" w:cs="Times New Roman"/>
          <w:b w:val="0"/>
          <w:sz w:val="22"/>
        </w:rPr>
        <w:t>在高维组学建模中，特征选择是控制过拟合、降低计算成本和增强生物学可解释性的关键步骤[12]。常用方法包括基于方差或单变量统计量的过滤式方法、基于 LASSO/弹性网络的嵌入式稀疏方法、基于互信息的最大相关最小冗余（mRMR）方法，以及 Boruta 等基于随机森林重要性的包装式方法[13-17]。这些方法分别从稳定性、线性判别、信息冗余和扰动重要性等角度对特征进行筛选，但不同方法的适用条件与最终保留特征集合并不完全一致。</w:t>
      </w:r>
    </w:p>
    <w:p>
      <w:pPr>
        <w:spacing w:after="120" w:line="300" w:lineRule="auto"/>
        <w:ind w:firstLine="440"/>
        <w:jc w:val="both"/>
      </w:pPr>
      <w:r>
        <w:rPr>
          <w:rFonts w:ascii="Times New Roman" w:hAnsi="Times New Roman" w:eastAsia="宋体" w:cs="Times New Roman"/>
          <w:b w:val="0"/>
          <w:sz w:val="22"/>
        </w:rPr>
        <w:t>在传统机器学习层面，逻辑回归、支持向量机、随机森林、梯度提升树和 k 近邻等算法已在基因组与临床预测中得到广泛应用[18-20]，并因其可解释性、计算效率和对表格型数据较好的稳健性而长期作为基线[21-23]。这类方法通常直接以基因表达或拷贝数向量为输入，因而无法自然利用特征之间可能存在的空间或网络邻接关系。类似地，生态预测领域从统计模型、经典机器学习到深度学习的方法演进也表明，在数据稀缺、时空异质性和可解释性约束下，模型选择需要同时兼顾数据结构和任务目标[24]。</w:t>
      </w:r>
    </w:p>
    <w:p>
      <w:pPr>
        <w:spacing w:after="120" w:line="300" w:lineRule="auto"/>
        <w:ind w:firstLine="440"/>
        <w:jc w:val="both"/>
      </w:pPr>
      <w:r>
        <w:rPr>
          <w:rFonts w:ascii="Times New Roman" w:hAnsi="Times New Roman" w:eastAsia="宋体" w:cs="Times New Roman"/>
          <w:b w:val="0"/>
          <w:sz w:val="22"/>
        </w:rPr>
        <w:t>深度学习的进展为生物医学数据分析提供了新的表征学习能力[21-23]。卷积神经网络（CNN）在图像识别中表现出强大的局部特征提取能力，从 LeNet、AlexNet 到 ResNet 和 Squeeze-and-Excitation Network 等结构不断提升了模型容量与泛化能力[25-28]；U-Net 等编码器-解码器结构则广泛应用于生物医学图像[29]。Transformer 与注意力机制进一步将序列和集合型数据的建模能力扩展到多模态场景[30]。针对序列型生物数据，混合膨胀卷积、门控卷积和深度可分离卷积的结构也被用于单碱基分辨率的核小体占据率预测，说明按数据尺度与感受野定制卷积模块有助于增强序列建模能力[31]。然而，深度学习模型参数多、样本需求大，若缺乏合适的输入表示和严格的防泄漏验证，容易在小样本组学任务上过拟合。</w:t>
      </w:r>
    </w:p>
    <w:p>
      <w:pPr>
        <w:spacing w:after="120" w:line="300" w:lineRule="auto"/>
        <w:ind w:firstLine="440"/>
        <w:jc w:val="both"/>
      </w:pPr>
      <w:r>
        <w:rPr>
          <w:rFonts w:ascii="Times New Roman" w:hAnsi="Times New Roman" w:eastAsia="宋体" w:cs="Times New Roman"/>
          <w:b w:val="0"/>
          <w:sz w:val="22"/>
        </w:rPr>
        <w:t>组学数据的“图像化”是连接 CNN 与高维分子数据的重要途径。DeepInsight 通过把非图像数据映射为二维图像，使 CNN 能够处理基因表达等表格数据[32]；DeepInsight-3D 将该思想扩展至多组学药物反应预测[33]。近期研究也利用转录组特征图进行癌症类型和生存预测[34]。这些方法说明，只要特征映射方式合理，图像化可以在保留原始数值的同时引入空间归纳偏置；但组学特征之间通常并不存在像素意义上的自然邻接关系，排序和填充方式会直接影响二维位置所表达的生物学含义。</w:t>
      </w:r>
    </w:p>
    <w:p>
      <w:pPr>
        <w:spacing w:after="120" w:line="300" w:lineRule="auto"/>
        <w:ind w:firstLine="440"/>
        <w:jc w:val="both"/>
      </w:pPr>
      <w:r>
        <w:rPr>
          <w:rFonts w:ascii="Times New Roman" w:hAnsi="Times New Roman" w:eastAsia="宋体" w:cs="Times New Roman"/>
          <w:b w:val="0"/>
          <w:sz w:val="22"/>
        </w:rPr>
        <w:t>生存分析是临床预后建模的核心。Cox 比例风险模型提供了半参数风险建模框架[35]，C-index 是评估生存风险排序一致性的常用指标[36]，而 Uno 等提出的 C 统计量则进一步考虑了删失和风险预测的整体适用性[37]。随机生存森林和 DeepSurv 将集成学习与深度神经网络扩展到生存数据[38-39]。在乳腺癌生存预测中，已有工作利用多组学决策级融合构建总体生存预测流程[40]。</w:t>
      </w:r>
    </w:p>
    <w:p>
      <w:pPr>
        <w:spacing w:after="120" w:line="300" w:lineRule="auto"/>
        <w:ind w:firstLine="440"/>
        <w:jc w:val="both"/>
      </w:pPr>
      <w:r>
        <w:rPr>
          <w:rFonts w:ascii="Times New Roman" w:hAnsi="Times New Roman" w:eastAsia="宋体" w:cs="Times New Roman"/>
          <w:b w:val="0"/>
          <w:sz w:val="22"/>
        </w:rPr>
        <w:t>多组学融合策略从早期特征拼接、决策级融合和 Stacking，逐渐发展到基于注意力、低秩双线性融合和图神经网络的深度整合[10-11,40]。同时，生成对抗网络（GAN）及其 Wasserstein 变体为小样本组学数据扩增提供了条件生成方案，但必须严格控制测试集信息泄漏[41-43]。在这些融合与增强策略中，如何在不同组学之间保持样本一致、特征尺度统一和模型可解释，仍缺乏系统比较。</w:t>
      </w:r>
    </w:p>
    <w:p>
      <w:pPr>
        <w:spacing w:after="120" w:line="300" w:lineRule="auto"/>
        <w:ind w:firstLine="440"/>
        <w:jc w:val="both"/>
      </w:pPr>
      <w:r>
        <w:rPr>
          <w:rFonts w:ascii="Times New Roman" w:hAnsi="Times New Roman" w:eastAsia="宋体" w:cs="Times New Roman"/>
          <w:b w:val="0"/>
          <w:sz w:val="22"/>
        </w:rPr>
        <w:t>可解释性是组学预测模型向临床转化的重要前提。saliency map、Grad-CAM、LIME 和 SHAP 等方法从梯度、局部扰动或博弈论角度解释模型输出[45-48]。对于图像化组学模型，可解释性不仅要求给出重要基因，还要求模型关注的像素位置能够反推回对应的生物学特征；这进一步凸显了图像化排序方式的重要性。</w:t>
      </w:r>
    </w:p>
    <w:p>
      <w:pPr>
        <w:spacing w:after="120" w:line="300" w:lineRule="auto"/>
        <w:ind w:firstLine="440"/>
        <w:jc w:val="both"/>
      </w:pPr>
      <w:r>
        <w:rPr>
          <w:rFonts w:ascii="Times New Roman" w:hAnsi="Times New Roman" w:eastAsia="宋体" w:cs="Times New Roman"/>
          <w:b w:val="0"/>
          <w:sz w:val="22"/>
        </w:rPr>
        <w:t>本研究针对上述问题，提出以 Jensen–Shannon divergence（JSD）引导的组学图像化框架：先评估每个基因或探针对结局类别的区分能力，再按 JSD 重要性降序并以中心向外螺旋方式填充图像，使高重要性特征集中于图像中心；随后以全尺寸卷积神经网络（FullSizeCNN）作为图像化基线，并与多种传统机器学习、MLP 和经典 CNN 结构进行对比。该方案既保留原始表达值，又将判别重要性显式编码到二维空间，便于后续关键因子定位。</w:t>
      </w:r>
    </w:p>
    <w:p>
      <w:pPr>
        <w:spacing w:after="120" w:line="300" w:lineRule="auto"/>
        <w:ind w:firstLine="440"/>
        <w:jc w:val="both"/>
      </w:pPr>
      <w:r>
        <w:rPr>
          <w:rFonts w:ascii="Times New Roman" w:hAnsi="Times New Roman" w:eastAsia="宋体" w:cs="Times New Roman"/>
          <w:b w:val="0"/>
          <w:sz w:val="22"/>
        </w:rPr>
        <w:t>本文提出三个研究问题：（1）检验 JSD 引导的空间排序是否相较随机或表达量排序产生可检测的预测增益，并评估其主要价值是否体现于可解释性而非性能提升；（2）检验 FullSizeCNN 在小样本组学任务中能否达到传统机器学习的竞争性性能，并通过 Dense 等价基线区分图像空间结构与原始特征值本身的贡献；（3）检验统一样本集上的多组学融合是否提供相对于最优单组学的可重复增益。</w:t>
      </w:r>
    </w:p>
    <w:p>
      <w:pPr>
        <w:spacing w:after="120" w:line="300" w:lineRule="auto"/>
        <w:ind w:firstLine="440"/>
        <w:jc w:val="both"/>
      </w:pPr>
      <w:r>
        <w:rPr>
          <w:rFonts w:ascii="Times New Roman" w:hAnsi="Times New Roman" w:eastAsia="宋体" w:cs="Times New Roman"/>
          <w:b w:val="0"/>
          <w:sz w:val="22"/>
        </w:rPr>
        <w:t>本文的贡献包括：提出 JSD 引导的中心-螺旋组学图像化框架；系统比较传统机器学习、MLP、FullSizeCNN 及多种多组学融合策略；在严格 5 折交叉验证下报告均值和标准差；利用 SHAP、CNN saliency 和基因功能类别图开展关键因子可视化；并通过方案2功能类别遮盖实验与等量随机遮盖对照，评估不同功能模块对 PAM50 分类和生存风险建模的贡献。</w:t>
      </w:r>
    </w:p>
    <w:p>
      <w:pPr>
        <w:pStyle w:val="Heading1"/>
        <w:spacing w:before="320" w:after="140"/>
        <w:jc w:val="left"/>
      </w:pPr>
      <w:r>
        <w:rPr>
          <w:rFonts w:ascii="Times New Roman" w:hAnsi="Times New Roman" w:eastAsia="微软雅黑" w:cs="Times New Roman"/>
          <w:b/>
          <w:color w:val="2E74B5"/>
          <w:sz w:val="32"/>
        </w:rPr>
        <w:t>2. 材料与方法</w:t>
      </w:r>
    </w:p>
    <w:p>
      <w:pPr>
        <w:spacing w:after="120" w:line="300" w:lineRule="auto"/>
        <w:ind w:firstLine="440"/>
        <w:jc w:val="both"/>
      </w:pPr>
      <w:r>
        <w:rPr>
          <w:rFonts w:ascii="Times New Roman" w:hAnsi="Times New Roman" w:eastAsia="宋体" w:cs="Times New Roman"/>
          <w:b w:val="0"/>
          <w:sz w:val="22"/>
        </w:rPr>
        <w:t>本部分仅给出核心方法与参数。整体技术路线见图 1，样本量概况见表 1；具体样本清单见补充材料表 S1；特征筛选算法组合见表 S2，最终特征数量见表 S3；单组学全部结果见表 S4，交集单组学基线见表 S5；三组学融合结果见表 S6，两两组学融合结果见表 S7，Stacking 与复杂方法结果见表 S8–S9；融合统计检验见表 S10；图像化结构对比见表 S11–S13；全尺寸卷积 Dense 等价基线见表 S14 与图 S3；随机排列排序对照见表 S15 与图 S4；可解释性补充图见图 S5–S13；方案2功能类别遮盖与统计检验见表 S16–S21；应激与适应性重编程通路分析见表 S22 与图 S14；PAM50 50 基因剔除敏感性分析见表 S23 与图 S15；无泄漏嵌套交叉验证见表 S24 与图 S16，严格 PAM50 排除见表 S25，FullSizeCNN-Cox 见表 S26，统计效应量见表 S27，已有方法比较见表 S28，METABRIC 外部验证见表 S29，基因互作分析见 S22 与图 S17，社区重排对比见表 S30。</w:t>
      </w:r>
    </w:p>
    <w:p>
      <w:pPr>
        <w:keepNext/>
        <w:spacing w:before="100" w:after="20"/>
        <w:jc w:val="center"/>
      </w:pPr>
      <w:r>
        <w:drawing>
          <wp:inline xmlns:a="http://schemas.openxmlformats.org/drawingml/2006/main" xmlns:pic="http://schemas.openxmlformats.org/drawingml/2006/picture">
            <wp:extent cx="6217920" cy="2851530"/>
            <wp:docPr id="1" name="Picture 1"/>
            <wp:cNvGraphicFramePr>
              <a:graphicFrameLocks noChangeAspect="1"/>
            </wp:cNvGraphicFramePr>
            <a:graphic>
              <a:graphicData uri="http://schemas.openxmlformats.org/drawingml/2006/picture">
                <pic:pic>
                  <pic:nvPicPr>
                    <pic:cNvPr id="0" name="fig1_route_v25.png"/>
                    <pic:cNvPicPr/>
                  </pic:nvPicPr>
                  <pic:blipFill>
                    <a:blip r:embed="rId10"/>
                    <a:stretch>
                      <a:fillRect/>
                    </a:stretch>
                  </pic:blipFill>
                  <pic:spPr>
                    <a:xfrm>
                      <a:off x="0" y="0"/>
                      <a:ext cx="6217920" cy="2851530"/>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1. Overall technical route. The three phases are data preparation, feature engineering, and modeling/fusion/evaluation; SHAP, Grad-CAM/saliency, and functional masking are used as downstream interpretability modules.</w:t>
      </w:r>
    </w:p>
    <w:p>
      <w:pPr>
        <w:pStyle w:val="Heading2"/>
        <w:spacing w:before="240" w:after="100"/>
        <w:jc w:val="left"/>
      </w:pPr>
      <w:r>
        <w:rPr>
          <w:rFonts w:ascii="Times New Roman" w:hAnsi="Times New Roman" w:eastAsia="微软雅黑" w:cs="Times New Roman"/>
          <w:b/>
          <w:color w:val="2E74B5"/>
          <w:sz w:val="26"/>
        </w:rPr>
        <w:t>2.1 数据来源与样本对齐</w:t>
      </w:r>
    </w:p>
    <w:p>
      <w:pPr>
        <w:spacing w:after="120" w:line="300" w:lineRule="auto"/>
        <w:ind w:firstLine="440"/>
        <w:jc w:val="both"/>
      </w:pPr>
      <w:r>
        <w:rPr>
          <w:rFonts w:ascii="Times New Roman" w:hAnsi="Times New Roman" w:eastAsia="宋体" w:cs="Times New Roman"/>
          <w:b w:val="0"/>
          <w:sz w:val="22"/>
        </w:rPr>
        <w:t>本研究使用公开数据库 TCGA-BRCA 数据，来自 Genomic Data Commons（GDC）和 UCSC Xena。mRNA 采用 TCGA BRCA HiSeqV2 的 log2(RSEM+1) 基因表达矩阵；CNV 采用 GISTIC2 基因级阈值化拷贝数矩阵；miRNA 采用 miRNA 表达矩阵。临床标签包括 PAM50 亚型、生存状态、生存时间等。按照 TCGA 患者条码提取原发肿瘤样本，并对三组学样本求交集，优先选择每个病例的 -01 原发肿瘤样本。所有数据为公开、去标识化数据，不涉及新的患者样本采集；各组学与交集样本量见补充材料表 S1。</w:t>
      </w:r>
    </w:p>
    <w:p>
      <w:pPr>
        <w:spacing w:after="120" w:line="300" w:lineRule="auto"/>
        <w:ind w:firstLine="440"/>
        <w:jc w:val="both"/>
      </w:pPr>
      <w:r>
        <w:rPr>
          <w:rFonts w:ascii="Times New Roman" w:hAnsi="Times New Roman" w:eastAsia="宋体" w:cs="Times New Roman"/>
          <w:b w:val="0"/>
          <w:sz w:val="22"/>
        </w:rPr>
        <w:t>PAM50 任务在剔除 Normal-like 后保留四个主要亚型：mRNA 833 例、CNV 818 例、miRNA 497 例，三组学交集 493 例。生存任务分别有 mRNA 1073 例、CNV 1057 例、miRNA 739 例，三组学交集 731 例。两两交集样本量分别为：PAM50 mRNA∩CNV 818、mRNA∩miRNA 497、CNV∩miRNA 493；生存 mRNA∩CNV 1055、mRNA∩miRNA 737、CNV∩miRNA 733。</w:t>
      </w:r>
    </w:p>
    <w:p>
      <w:pPr>
        <w:spacing w:before="80" w:after="80"/>
        <w:jc w:val="center"/>
      </w:pPr>
      <w:r>
        <w:rPr>
          <w:rFonts w:ascii="Times New Roman" w:hAnsi="Times New Roman" w:eastAsia="宋体" w:cs="Times New Roman"/>
          <w:b/>
          <w:color w:val="1F4D78"/>
          <w:sz w:val="19"/>
        </w:rPr>
        <w:t>Table 1. Sample sizes by omics and triple-omics intersection</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259"/>
        <w:gridCol w:w="1614"/>
        <w:gridCol w:w="1614"/>
        <w:gridCol w:w="1614"/>
        <w:gridCol w:w="2259"/>
      </w:tblGrid>
      <w:tr>
        <w:trPr/>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CNV</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miRNA</w:t>
            </w:r>
          </w:p>
        </w:tc>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Triple-omics intersection</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833</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818</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497</w:t>
            </w:r>
          </w:p>
        </w:tc>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493</w:t>
            </w:r>
          </w:p>
        </w:tc>
      </w:tr>
      <w:tr>
        <w:trPr/>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1073</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1057</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739</w:t>
            </w:r>
          </w:p>
        </w:tc>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731</w:t>
            </w:r>
          </w:p>
        </w:tc>
      </w:tr>
    </w:tbl>
    <w:p>
      <w:pPr>
        <w:spacing w:after="20" w:before="0"/>
      </w:pPr>
      <w:r>
        <w:rPr>
          <w:rFonts w:ascii="Times New Roman" w:hAnsi="Times New Roman" w:eastAsia="宋体" w:cs="Times New Roman"/>
          <w:sz w:val="4"/>
        </w:rPr>
      </w:r>
    </w:p>
    <w:p>
      <w:pPr>
        <w:pStyle w:val="Heading2"/>
        <w:spacing w:before="240" w:after="100"/>
        <w:jc w:val="left"/>
      </w:pPr>
      <w:r>
        <w:rPr>
          <w:rFonts w:ascii="Times New Roman" w:hAnsi="Times New Roman" w:eastAsia="微软雅黑" w:cs="Times New Roman"/>
          <w:b/>
          <w:color w:val="2E74B5"/>
          <w:sz w:val="26"/>
        </w:rPr>
        <w:t>2.2 标签定义</w:t>
      </w:r>
    </w:p>
    <w:p>
      <w:pPr>
        <w:spacing w:after="120" w:line="300" w:lineRule="auto"/>
        <w:ind w:firstLine="440"/>
        <w:jc w:val="both"/>
      </w:pPr>
      <w:r>
        <w:rPr>
          <w:rFonts w:ascii="Times New Roman" w:hAnsi="Times New Roman" w:eastAsia="宋体" w:cs="Times New Roman"/>
          <w:b w:val="0"/>
          <w:sz w:val="22"/>
        </w:rPr>
        <w:t>PAM50 分子分型为四分类标签，类别为 Luminal A、Luminal B、Basal-like、HER2-enriched。生存分析以 OS 事件为二分类标签（1=死亡，0=删失），以诊断至死亡或末次随访时间作为生存时间。由于死亡事件在数据集中比例较低，生存任务存在类别不平衡。</w:t>
      </w:r>
    </w:p>
    <w:p>
      <w:pPr>
        <w:spacing w:after="120" w:line="300" w:lineRule="auto"/>
        <w:ind w:firstLine="440"/>
        <w:jc w:val="both"/>
      </w:pPr>
      <w:r>
        <w:rPr>
          <w:rFonts w:ascii="Times New Roman" w:hAnsi="Times New Roman" w:eastAsia="宋体" w:cs="Times New Roman"/>
          <w:b w:val="0"/>
          <w:sz w:val="22"/>
        </w:rPr>
        <w:t>需要明确，除 CoxPH 与 DeepSurv 属于时间到事件模型外，其余模型（LogisticRegression、SVC、RandomForest、MLP、FullSizeCNN 等）以二元交叉熵拟合 OS 事件，本质上是死亡状态分类（mortality-status classification）；其输出被作为连续风险分数，再结合生存时间计算 C-index 进行生存排序评估（survival-ranking evaluation），因此本文所称“生存风险建模”并不等同于严格的风险率建模。</w:t>
      </w:r>
    </w:p>
    <w:p>
      <w:pPr>
        <w:pStyle w:val="Heading2"/>
        <w:spacing w:before="240" w:after="100"/>
        <w:jc w:val="left"/>
      </w:pPr>
      <w:r>
        <w:rPr>
          <w:rFonts w:ascii="Times New Roman" w:hAnsi="Times New Roman" w:eastAsia="微软雅黑" w:cs="Times New Roman"/>
          <w:b/>
          <w:color w:val="2E74B5"/>
          <w:sz w:val="26"/>
        </w:rPr>
        <w:t>2.3 特征筛选与 JSD</w:t>
      </w:r>
    </w:p>
    <w:p>
      <w:pPr>
        <w:spacing w:after="120" w:line="300" w:lineRule="auto"/>
        <w:ind w:firstLine="440"/>
        <w:jc w:val="both"/>
      </w:pPr>
      <w:r>
        <w:rPr>
          <w:rFonts w:ascii="Times New Roman" w:hAnsi="Times New Roman" w:eastAsia="宋体" w:cs="Times New Roman"/>
          <w:b w:val="0"/>
          <w:sz w:val="22"/>
        </w:rPr>
        <w:t>为避免测试集信息泄漏，所有特征筛选均在每个交叉验证训练折内部完成。基础特征筛选方法包括低方差过滤、F 值（ANOVA）、L1/LASSO 和 Jensen–Shannon divergence（JSD）[44]。JSD 通过比较不同类别中特征值的分箱直方图，计算两个离散分布之间的对称信息散度。</w:t>
      </w:r>
    </w:p>
    <w:p>
      <w:pPr>
        <w:spacing w:after="120" w:line="300" w:lineRule="auto"/>
        <w:ind w:firstLine="440"/>
        <w:jc w:val="both"/>
      </w:pPr>
      <w:r>
        <w:rPr>
          <w:rFonts w:ascii="Times New Roman" w:hAnsi="Times New Roman" w:eastAsia="宋体" w:cs="Times New Roman"/>
          <w:b w:val="0"/>
          <w:sz w:val="22"/>
        </w:rPr>
        <w:t>低方差过滤首先移除训练折内方差为零或近似常数的特征；F 值采用单因素 ANOVA 比较连续特征在不同类别间均值差异；L1 嵌入式选择使用线性支持向量机 LinearSVC(penalty='l1', dual=False, C=0.1, max_iter=5000) 的稀疏系数。三种方法分别从稳定性、线性判别和稀疏正则化角度降低维度。特征筛选算法组合方式见补充材料表 S2。</w:t>
      </w:r>
    </w:p>
    <w:p>
      <w:pPr>
        <w:tabs>
          <w:tab w:pos="9216" w:val="right"/>
        </w:tabs>
        <w:spacing w:before="80" w:after="120"/>
        <w:jc w:val="center"/>
      </w:pPr>
      <w:r>
        <w:rPr>
          <w:rFonts w:ascii="Cambria Math" w:hAnsi="Cambria Math" w:eastAsia="宋体" w:cs="Cambria Math"/>
          <w:sz w:val="21"/>
        </w:rPr>
        <w:t>Var(x_j) = (1/N) ∑_i (x_ij - x̄_j)²;  F_j = MS_between / MS_within</w:t>
        <w:tab/>
        <w:t>(1)</w:t>
      </w:r>
    </w:p>
    <w:p>
      <w:pPr>
        <w:spacing w:after="120" w:line="300" w:lineRule="auto"/>
        <w:ind w:firstLine="440"/>
        <w:jc w:val="both"/>
      </w:pPr>
      <w:r>
        <w:rPr>
          <w:rFonts w:ascii="Times New Roman" w:hAnsi="Times New Roman" w:eastAsia="宋体" w:cs="Times New Roman"/>
          <w:b w:val="0"/>
          <w:sz w:val="22"/>
        </w:rPr>
        <w:t>JSD 计算式：对类别 c 和 d 的特征直方图 P、Q，定义 D_JSD(P||Q) = 0.5 ∑_x [ P(x) log_2( 2P(x) / (P(x)+Q(x)) ) + Q(x) log_2( 2Q(x) / (P(x)+Q(x)) ) ]。二分类时直接计算两类间 JSD。多分类策略与具体组学相关：PAM50 mRNA 和生存数据使用平均 pairwise JSD，PAM50 CNV 使用 one-vs-rest max JSD，PAM50 miRNA 先使用 pairwise JSD 粗筛、再以 L1 精筛。为保证数值稳定，对直方图加入极小常数 ε 并进行概率归一化。</w:t>
      </w:r>
    </w:p>
    <w:p>
      <w:pPr>
        <w:tabs>
          <w:tab w:pos="9216" w:val="right"/>
        </w:tabs>
        <w:spacing w:before="80" w:after="120"/>
        <w:jc w:val="center"/>
      </w:pPr>
      <w:r>
        <w:rPr>
          <w:rFonts w:ascii="Cambria Math" w:hAnsi="Cambria Math" w:eastAsia="宋体" w:cs="Cambria Math"/>
          <w:sz w:val="21"/>
        </w:rPr>
        <w:t>D_JSD(P||Q) = 0.5 ∑_x [ P(x) log_2( 2P(x) / (P(x)+Q(x)) ) + Q(x) log_2( 2Q(x) / (P(x)+Q(x)) ) ]</w:t>
        <w:tab/>
        <w:t>(2)</w:t>
      </w:r>
    </w:p>
    <w:p>
      <w:pPr>
        <w:spacing w:after="120" w:line="300" w:lineRule="auto"/>
        <w:ind w:firstLine="440"/>
        <w:jc w:val="both"/>
      </w:pPr>
      <w:r>
        <w:rPr>
          <w:rFonts w:ascii="Times New Roman" w:hAnsi="Times New Roman" w:eastAsia="宋体" w:cs="Times New Roman"/>
          <w:b w:val="0"/>
          <w:sz w:val="22"/>
        </w:rPr>
        <w:t>特征数量通过 200/50/200 基础数量及 2×、3×、4×、5× 扩增进行系统比较。最终 PAM50 数据集特征数分别为 mRNA 400、CNV 50、miRNA 600；生存数据集特征数分别为 mRNA 200、CNV 150、miRNA 600。选择依据为在 Accuracy/Macro-F1 或 ROC AUC/C-index 接近最优时，优先选择计算效率更高、稳定性更好的特征数；最终特征数量与 JSD 图像尺寸见表 2，更详细对应关系见补充材料表 S3。</w:t>
      </w:r>
    </w:p>
    <w:p>
      <w:pPr>
        <w:spacing w:after="120" w:line="300" w:lineRule="auto"/>
        <w:ind w:firstLine="440"/>
        <w:jc w:val="both"/>
      </w:pPr>
      <w:r>
        <w:rPr>
          <w:rFonts w:ascii="Times New Roman" w:hAnsi="Times New Roman" w:eastAsia="宋体" w:cs="Times New Roman"/>
          <w:b w:val="0"/>
          <w:sz w:val="22"/>
        </w:rPr>
        <w:t>需要说明的是，主分析中特征数量的选择与最终性能评估共用同一 5 折交叉验证，因此本文报告的 Accuracy、Macro-F1、ROC AUC 与 C-index 属于探索性交叉验证估计（exploratory CV estimates），可能存在对最优特征数量的选择偏倚。为评估该偏倚的大小，本文对 mRNA PAM50 关键模型增加了无泄漏 nested repeated CV：外层 5-fold × 5 repeats，内层 3-fold 选择特征数（200/400），特征筛选和图像排序均仅在训练折内完成；完整结果见补充材料表 S24。</w:t>
      </w:r>
    </w:p>
    <w:p>
      <w:pPr>
        <w:pStyle w:val="Heading2"/>
        <w:spacing w:before="240" w:after="100"/>
        <w:jc w:val="left"/>
      </w:pPr>
      <w:r>
        <w:rPr>
          <w:rFonts w:ascii="Times New Roman" w:hAnsi="Times New Roman" w:eastAsia="微软雅黑" w:cs="Times New Roman"/>
          <w:b/>
          <w:color w:val="2E74B5"/>
          <w:sz w:val="26"/>
        </w:rPr>
        <w:t>2.4 组学图像化</w:t>
      </w:r>
    </w:p>
    <w:p>
      <w:pPr>
        <w:spacing w:after="120" w:line="300" w:lineRule="auto"/>
        <w:ind w:firstLine="440"/>
        <w:jc w:val="both"/>
      </w:pPr>
      <w:r>
        <w:rPr>
          <w:rFonts w:ascii="Times New Roman" w:hAnsi="Times New Roman" w:eastAsia="宋体" w:cs="Times New Roman"/>
          <w:b w:val="0"/>
          <w:sz w:val="22"/>
        </w:rPr>
        <w:t>对每个任务和组学，先计算每个特征的 JSD 分数并按降序排序。采用中心向外的螺旋顺序，将最高重要性特征放在图像中心，次高重要性特征沿螺旋向外排列。若特征数小于网格容量，剩余位置补零。图像为单通道灰度图，像素值即对应组学特征值；模型训练时仅在训练折内估计标准化参数并应用于训练折与测试折。最终图像尺寸为：PAM50 mRNA 20×20、CNV 8×8、miRNA 25×25；生存 mRNA 15×15、CNV 13×13、miRNA 25×25。</w:t>
      </w:r>
    </w:p>
    <w:p>
      <w:pPr>
        <w:spacing w:after="120" w:line="300" w:lineRule="auto"/>
        <w:ind w:firstLine="440"/>
        <w:jc w:val="both"/>
      </w:pPr>
      <w:r>
        <w:rPr>
          <w:rFonts w:ascii="Times New Roman" w:hAnsi="Times New Roman" w:eastAsia="宋体" w:cs="Times New Roman"/>
          <w:b w:val="0"/>
          <w:sz w:val="22"/>
        </w:rPr>
        <w:t>为增强像素邻接的生物学可解释性，进一步采用方案2：先按功能大类将特征分块，再在块内按 JSD 降序，并按块平均 JSD 由中心向外螺旋填充。mRNA 和 CNV 的功能类别基于基因功能注释，miRNA 先由 MIMAT 映射至 hsa-miR 名称，再按 miRNA 家族/已知功能归类。对应生成功能类别图；在遮盖实验中，将目标功能类别的像素区域置零后重新训练 FullSizeCNN，并与不遮盖基线及同数量随机基因遮盖对照比较。</w:t>
      </w:r>
    </w:p>
    <w:p>
      <w:pPr>
        <w:spacing w:before="80" w:after="80"/>
        <w:jc w:val="center"/>
      </w:pPr>
      <w:r>
        <w:rPr>
          <w:rFonts w:ascii="Times New Roman" w:hAnsi="Times New Roman" w:eastAsia="宋体" w:cs="Times New Roman"/>
          <w:b/>
          <w:color w:val="1F4D78"/>
          <w:sz w:val="19"/>
        </w:rPr>
        <w:t>Table 2. Final feature counts and JSD image sizes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080"/>
        <w:gridCol w:w="1664"/>
        <w:gridCol w:w="1872"/>
        <w:gridCol w:w="2080"/>
        <w:gridCol w:w="1664"/>
      </w:tblGrid>
      <w:tr>
        <w:trPr/>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Final features</w:t>
            </w:r>
          </w:p>
        </w:tc>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Image size</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Zero-padded positions</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20×20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8×8</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15×15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13×13</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19</w:t>
            </w:r>
          </w:p>
        </w:tc>
      </w:tr>
      <w:tr>
        <w:trPr/>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w:t>
            </w:r>
          </w:p>
        </w:tc>
      </w:tr>
    </w:tbl>
    <w:p>
      <w:pPr>
        <w:spacing w:after="20" w:before="0"/>
      </w:pPr>
      <w:r>
        <w:rPr>
          <w:rFonts w:ascii="Times New Roman" w:hAnsi="Times New Roman" w:eastAsia="宋体" w:cs="Times New Roman"/>
          <w:sz w:val="4"/>
        </w:rPr>
      </w:r>
    </w:p>
    <w:p>
      <w:pPr>
        <w:pStyle w:val="Heading2"/>
        <w:spacing w:before="240" w:after="100"/>
        <w:jc w:val="left"/>
      </w:pPr>
      <w:r>
        <w:rPr>
          <w:rFonts w:ascii="Times New Roman" w:hAnsi="Times New Roman" w:eastAsia="微软雅黑" w:cs="Times New Roman"/>
          <w:b/>
          <w:color w:val="2E74B5"/>
          <w:sz w:val="26"/>
        </w:rPr>
        <w:t>2.5 模型</w:t>
      </w:r>
    </w:p>
    <w:p>
      <w:pPr>
        <w:spacing w:after="120" w:line="300" w:lineRule="auto"/>
        <w:ind w:firstLine="440"/>
        <w:jc w:val="both"/>
      </w:pPr>
      <w:r>
        <w:rPr>
          <w:rFonts w:ascii="Times New Roman" w:hAnsi="Times New Roman" w:eastAsia="宋体" w:cs="Times New Roman"/>
          <w:b w:val="0"/>
          <w:sz w:val="22"/>
        </w:rPr>
        <w:t>传统机器学习基线包括 LogisticRegression、RandomForest、GradientBoosting、线性 SVC、KNN 和 MLP；生存风险建模另纳入 CoxPH。LogisticRegression 使用 L2 默认正则并增加最大迭代；RandomForest 使用 200 棵树；GradientBoosting 使用 100 轮；SVC 使用线性核；KNN 使用 k=5；MLP 采用 128-64 隐层和 Dropout。CoxPH 作为传统时间到事件比较模型，使用单独定义的 top-100 方差特征和 0.1 惩罚。</w:t>
      </w:r>
    </w:p>
    <w:p>
      <w:pPr>
        <w:spacing w:after="120" w:line="300" w:lineRule="auto"/>
        <w:ind w:firstLine="440"/>
        <w:jc w:val="both"/>
      </w:pPr>
      <w:r>
        <w:rPr>
          <w:rFonts w:ascii="Times New Roman" w:hAnsi="Times New Roman" w:eastAsia="宋体" w:cs="Times New Roman"/>
          <w:b w:val="0"/>
          <w:sz w:val="22"/>
        </w:rPr>
        <w:t>MLP 与 FullSizeCNN 均使用 Adam 优化器，学习率 1×10⁻³、权重衰减 1×10⁻⁴，训练 30 个 epoch，批大小为 64。PAM50 使用交叉熵损失，输出四类概率；生存风险建模使用二元交叉熵损失，输出死亡风险概率。训练前仅在训练折上估计 StandardScaler 参数，测试折使用同一 scaler 变换。</w:t>
      </w:r>
    </w:p>
    <w:p>
      <w:pPr>
        <w:spacing w:after="120" w:line="300" w:lineRule="auto"/>
        <w:ind w:firstLine="440"/>
        <w:jc w:val="both"/>
      </w:pPr>
      <w:r>
        <w:rPr>
          <w:rFonts w:ascii="Times New Roman" w:hAnsi="Times New Roman" w:eastAsia="宋体" w:cs="Times New Roman"/>
          <w:b w:val="0"/>
          <w:sz w:val="22"/>
        </w:rPr>
        <w:t>FullSizeCNN 的输入为 H×W×1 图像，第一层使用与 H×W 相同的全尺寸卷积核，输出 32 个 1×1 特征图；随后展平为 32 维向量，经 64 维全连接、ReLU 和 Dropout 后输出分类 logits 或生存风险。结构如图 2 所示。需要指出，该全尺寸卷积核在数学上等价于展平后的全连接投影，因此本文将其视为保留图像坐标接口的 full-field convolutional network，而不是滑动/局部卷积特征提取器；其图像接口主要用于后续归因可视化，而非依赖二维局部感受野获得预测增益。</w:t>
      </w:r>
    </w:p>
    <w:p>
      <w:pPr>
        <w:keepNext/>
        <w:spacing w:before="100" w:after="20"/>
        <w:jc w:val="center"/>
      </w:pPr>
      <w:r>
        <w:drawing>
          <wp:inline xmlns:a="http://schemas.openxmlformats.org/drawingml/2006/main" xmlns:pic="http://schemas.openxmlformats.org/drawingml/2006/picture">
            <wp:extent cx="5669280" cy="2106206"/>
            <wp:docPr id="2" name="Picture 2"/>
            <wp:cNvGraphicFramePr>
              <a:graphicFrameLocks noChangeAspect="1"/>
            </wp:cNvGraphicFramePr>
            <a:graphic>
              <a:graphicData uri="http://schemas.openxmlformats.org/drawingml/2006/picture">
                <pic:pic>
                  <pic:nvPicPr>
                    <pic:cNvPr id="0" name="fig2_fullsize_cnn_v4.png"/>
                    <pic:cNvPicPr/>
                  </pic:nvPicPr>
                  <pic:blipFill>
                    <a:blip r:embed="rId11"/>
                    <a:stretch>
                      <a:fillRect/>
                    </a:stretch>
                  </pic:blipFill>
                  <pic:spPr>
                    <a:xfrm>
                      <a:off x="0" y="0"/>
                      <a:ext cx="5669280" cy="2106206"/>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2. FullSizeCNN architecture. An H×W×1 JSD image is transformed by a full-size convolutional layer with H×W kernels and 32 filters, flattened to 32 features, and passed through a 64-unit ReLU/Dropout MLP head. PAM50 uses H=W=20 and four output units; survival uses H=W=15 and one risk output.</w:t>
      </w:r>
    </w:p>
    <w:p>
      <w:pPr>
        <w:spacing w:after="120" w:line="300" w:lineRule="auto"/>
        <w:ind w:firstLine="440"/>
        <w:jc w:val="both"/>
      </w:pPr>
      <w:r>
        <w:rPr>
          <w:rFonts w:ascii="Times New Roman" w:hAnsi="Times New Roman" w:eastAsia="宋体" w:cs="Times New Roman"/>
          <w:b w:val="0"/>
          <w:sz w:val="22"/>
        </w:rPr>
        <w:t>多组学整合采用三类策略：（1）特征级简单拼接后接传统 ML/MLP；（2）每个组学独立 FullSizeCNN 分支后进行特征拼接、门控注意力融合或概率晚期平均融合；（3）9 模型 Stacking、Transformer 跨组学注意力、DeepSurv、低秩双线性融合、图神经网络和多任务学习等复杂策略。</w:t>
      </w:r>
    </w:p>
    <w:p>
      <w:pPr>
        <w:spacing w:after="120" w:line="300" w:lineRule="auto"/>
        <w:ind w:firstLine="440"/>
        <w:jc w:val="both"/>
      </w:pPr>
      <w:r>
        <w:rPr>
          <w:rFonts w:ascii="Times New Roman" w:hAnsi="Times New Roman" w:eastAsia="宋体" w:cs="Times New Roman"/>
          <w:b w:val="0"/>
          <w:sz w:val="22"/>
        </w:rPr>
        <w:t>复杂方法的关键超参数固定如下：Transformer 采用 d_model=32、nhead=4、layers=2、dim_feedforward=64、dropout=0.1，三组学分别投影为 32 维 token 后取均值池化；低秩双线性融合采用秩 r=8、投影维度 d=32；GNN 以基因间绝对 Pearson 相关系数构建邻接矩阵，保留每个节点的 top-k=40 邻居并加自环后对称归一化，使用两层 GCN（1→32→32）；9 模型 Stacking 以内部 5 折分层 CV 生成各基模型 out-of-fold 预测，meta-learner 为 LogisticRegression（max_iter=3000），外评估仍为 5 折分层 CV；WGAN-GP 的生成器输入噪声维度 64、类别嵌入维度 16，判别器每次迭代 3 次、梯度惩罚权重 λ_GP=10；DeepSurv 使用负对数部分似然损失；所有深度学习模型使用 Adam（lr=1×10⁻³、weight_decay=1×10⁻⁴），未使用早停，训练 epoch 数按模型固定为 30。</w:t>
      </w:r>
    </w:p>
    <w:p>
      <w:pPr>
        <w:pStyle w:val="Heading2"/>
        <w:spacing w:before="240" w:after="100"/>
        <w:jc w:val="left"/>
      </w:pPr>
      <w:r>
        <w:rPr>
          <w:rFonts w:ascii="Times New Roman" w:hAnsi="Times New Roman" w:eastAsia="微软雅黑" w:cs="Times New Roman"/>
          <w:b/>
          <w:color w:val="2E74B5"/>
          <w:sz w:val="26"/>
        </w:rPr>
        <w:t>2.6 评估与统计检验</w:t>
      </w:r>
    </w:p>
    <w:p>
      <w:pPr>
        <w:spacing w:after="120" w:line="300" w:lineRule="auto"/>
        <w:ind w:firstLine="440"/>
        <w:jc w:val="both"/>
      </w:pPr>
      <w:r>
        <w:rPr>
          <w:rFonts w:ascii="Times New Roman" w:hAnsi="Times New Roman" w:eastAsia="宋体" w:cs="Times New Roman"/>
          <w:b w:val="0"/>
          <w:sz w:val="22"/>
        </w:rPr>
        <w:t>所有模型使用 5 折交叉验证。分类任务报告 Accuracy 和 Macro-F1；生存任务报告 ROC AUC 和 C-index。对于 LogisticRegression/RandomForest/SVC/KNN/MLP 等模型，以预测概率或决策函数作为风险分数；对于 CoxPH，以其部分风险分数作为风险分数。为比较同一折上的模型，采用配对 t 检验和 Wilcoxon 符号秩检验。所有预处理、标准化、特征筛选和训练均在训练折内完成，测试折仅用于评估。</w:t>
      </w:r>
    </w:p>
    <w:p>
      <w:pPr>
        <w:spacing w:after="120" w:line="300" w:lineRule="auto"/>
        <w:ind w:firstLine="440"/>
        <w:jc w:val="both"/>
      </w:pPr>
      <w:r>
        <w:rPr>
          <w:rFonts w:ascii="Times New Roman" w:hAnsi="Times New Roman" w:eastAsia="宋体" w:cs="Times New Roman"/>
          <w:b w:val="0"/>
          <w:sz w:val="22"/>
        </w:rPr>
        <w:t>Accuracy 为预测正确样本占全部样本的比例；Macro-F1 对每个类别分别计算 F1 后取算术平均，以降低类别不平衡的影响。ROC AUC 以死亡风险分数作为连续预测值，结合二分类事件标签计算。模型输出风险分数，数值越大表示死亡风险越高；计算 C-index 时使用该风险分数的负值，使 C-index 度量预测风险排序与真实生存顺序的一致性。</w:t>
      </w:r>
    </w:p>
    <w:p>
      <w:pPr>
        <w:tabs>
          <w:tab w:pos="9216" w:val="right"/>
        </w:tabs>
        <w:spacing w:before="80" w:after="120"/>
        <w:jc w:val="center"/>
      </w:pPr>
      <w:r>
        <w:rPr>
          <w:rFonts w:ascii="Cambria Math" w:hAnsi="Cambria Math" w:eastAsia="宋体" w:cs="Cambria Math"/>
          <w:sz w:val="21"/>
        </w:rPr>
        <w:t>C-index = P( R(x_i) &gt; R(x_j) | T_i &lt; T_j, δ_i = 1 )</w:t>
        <w:tab/>
        <w:t>(3)</w:t>
      </w:r>
    </w:p>
    <w:p>
      <w:pPr>
        <w:spacing w:after="120" w:line="300" w:lineRule="auto"/>
        <w:ind w:firstLine="440"/>
        <w:jc w:val="both"/>
      </w:pPr>
      <w:r>
        <w:rPr>
          <w:rFonts w:ascii="Times New Roman" w:hAnsi="Times New Roman" w:eastAsia="宋体" w:cs="Times New Roman"/>
          <w:b w:val="0"/>
          <w:sz w:val="22"/>
        </w:rPr>
        <w:t>统计检验仅比较同一交叉验证折上的成对分数，以减少折间变异干扰。文中报告配对 t 检验和 Wilcoxon 符号秩检验 p 值；显著性阈值取 0.05。</w:t>
      </w:r>
    </w:p>
    <w:p>
      <w:pPr>
        <w:spacing w:after="120" w:line="300" w:lineRule="auto"/>
        <w:ind w:firstLine="440"/>
        <w:jc w:val="both"/>
      </w:pPr>
      <w:r>
        <w:rPr>
          <w:rFonts w:ascii="Times New Roman" w:hAnsi="Times New Roman" w:eastAsia="宋体" w:cs="Times New Roman"/>
          <w:b w:val="0"/>
          <w:sz w:val="22"/>
        </w:rPr>
        <w:t>分析使用 Python 3.11 及相关科学计算库完成：scikit-learn 用于传统机器学习与交叉验证，PyTorch 用于 MLP、FullSizeCNN 和深度融合模型，lifelines 用于 CoxPH 与 C-index，SHAP 和梯度 saliency 用于可解释性。固定随机种子为 42。</w:t>
      </w:r>
    </w:p>
    <w:p>
      <w:pPr>
        <w:spacing w:after="160"/>
        <w:jc w:val="both"/>
      </w:pPr>
      <w:r>
        <w:rPr>
          <w:rFonts w:ascii="Times New Roman" w:hAnsi="Times New Roman" w:eastAsia="宋体" w:cs="Times New Roman"/>
          <w:color w:val="555555"/>
          <w:sz w:val="18"/>
        </w:rPr>
        <w:t>说明：所有表格与图中结果均为“基于训练折内筛选特征的结果”，在 5 折交叉验证下给出均值±标准差。PAM50 四分类报告 Accuracy 和 Macro-F1；生存风险建模报告 ROC AUC 和 Cox C-index。ROC AUC 以模型输出的死亡风险概率/风险分数作为连续预测分数计算；C-index 使用取负后的风险分数、生存时间与事件状态，通过 lifelines.utils.concordance_index 计算，风险分数越大代表死亡风险越高。</w:t>
      </w:r>
    </w:p>
    <w:p>
      <w:pPr>
        <w:pStyle w:val="Heading2"/>
        <w:spacing w:before="240" w:after="100"/>
        <w:jc w:val="left"/>
      </w:pPr>
      <w:r>
        <w:rPr>
          <w:rFonts w:ascii="Times New Roman" w:hAnsi="Times New Roman" w:eastAsia="微软雅黑" w:cs="Times New Roman"/>
          <w:b/>
          <w:color w:val="2E74B5"/>
          <w:sz w:val="26"/>
        </w:rPr>
        <w:t>2.7 基因互作与网络重排分析</w:t>
      </w:r>
    </w:p>
    <w:p>
      <w:pPr>
        <w:spacing w:after="120" w:line="300" w:lineRule="auto"/>
        <w:ind w:firstLine="440"/>
        <w:jc w:val="both"/>
      </w:pPr>
      <w:r>
        <w:rPr>
          <w:rFonts w:ascii="Times New Roman" w:hAnsi="Times New Roman" w:eastAsia="宋体" w:cs="Times New Roman"/>
          <w:b w:val="0"/>
          <w:sz w:val="22"/>
        </w:rPr>
        <w:t>为考察基因互作关系是否能为图像化提供更贴近生物学的空间邻接，在 PAM50 交集样本上构建三类网络：mRNA 共表达网络、consensus-gene STRING PPI 网络，以及 miRNA–mRNA 负相关和 CNV–mRNA 相关网络。mRNA 共表达网络基于最终特征的 Pearson 相关，边阈值为 |r|≥0.75；该阈值较保守，因此网络社区较稀疏，结果应作为高置信边描述而非最终生物学模块定义。PPI 使用 STRING 数据库的 high-confidence 边；跨组学相关使用 Spearman 相关并保留最强候选边。随后按共表达社区重排 mRNA 特征，生成与原始 JSD 螺旋排序相同的 20×20 灰度图，并用 FullSizeCNN 进行 5 折交叉验证比较。</w:t>
      </w:r>
    </w:p>
    <w:p>
      <w:pPr>
        <w:pStyle w:val="Heading1"/>
        <w:spacing w:before="320" w:after="140"/>
        <w:jc w:val="left"/>
      </w:pPr>
      <w:r>
        <w:rPr>
          <w:rFonts w:ascii="Times New Roman" w:hAnsi="Times New Roman" w:eastAsia="微软雅黑" w:cs="Times New Roman"/>
          <w:b/>
          <w:color w:val="2E74B5"/>
          <w:sz w:val="32"/>
        </w:rPr>
        <w:t>3. 结果</w:t>
      </w:r>
    </w:p>
    <w:p>
      <w:pPr>
        <w:spacing w:after="120" w:line="300" w:lineRule="auto"/>
        <w:ind w:firstLine="440"/>
        <w:jc w:val="both"/>
      </w:pPr>
      <w:r>
        <w:rPr>
          <w:rFonts w:ascii="Times New Roman" w:hAnsi="Times New Roman" w:eastAsia="宋体" w:cs="Times New Roman"/>
          <w:b w:val="0"/>
          <w:sz w:val="22"/>
        </w:rPr>
        <w:t>正文展示代表性结果；完整逐模型、逐折均值和标准差见补充材料表 S4–S30。</w:t>
      </w:r>
    </w:p>
    <w:p>
      <w:pPr>
        <w:pStyle w:val="Heading2"/>
        <w:spacing w:before="240" w:after="100"/>
        <w:jc w:val="left"/>
      </w:pPr>
      <w:r>
        <w:rPr>
          <w:rFonts w:ascii="Times New Roman" w:hAnsi="Times New Roman" w:eastAsia="微软雅黑" w:cs="Times New Roman"/>
          <w:b/>
          <w:color w:val="2E74B5"/>
          <w:sz w:val="26"/>
        </w:rPr>
        <w:t>3.1 组学图像示例</w:t>
      </w:r>
    </w:p>
    <w:p>
      <w:pPr>
        <w:spacing w:after="120" w:line="300" w:lineRule="auto"/>
        <w:ind w:firstLine="440"/>
        <w:jc w:val="both"/>
      </w:pPr>
      <w:r>
        <w:rPr>
          <w:rFonts w:ascii="Times New Roman" w:hAnsi="Times New Roman" w:eastAsia="宋体" w:cs="Times New Roman"/>
          <w:b w:val="0"/>
          <w:sz w:val="22"/>
        </w:rPr>
        <w:t>图 3 展示一个 PAM50 mRNA 样本和一个 Survival mRNA 样本的灰度表达图、JSD 权重图和基因功能类别图。图像中心区域对应高 JSD 特征，说明视觉中心区域编码了基于训练数据类别分布差异获得的 JSD 判别重要性；只有 SHAP/saliency 才表示模型归因重要性。基因功能类别图以颜色标记基因功能类别，与 JSD 灰度图位置严格对应，便于后续把卷积模型关注区域转化为生物学解释。</w:t>
      </w:r>
    </w:p>
    <w:p>
      <w:pPr>
        <w:keepNext/>
        <w:spacing w:before="100" w:after="20"/>
        <w:jc w:val="center"/>
      </w:pPr>
      <w:r>
        <w:drawing>
          <wp:inline xmlns:a="http://schemas.openxmlformats.org/drawingml/2006/main" xmlns:pic="http://schemas.openxmlformats.org/drawingml/2006/picture">
            <wp:extent cx="5852160" cy="3374350"/>
            <wp:docPr id="3" name="Picture 3"/>
            <wp:cNvGraphicFramePr>
              <a:graphicFrameLocks noChangeAspect="1"/>
            </wp:cNvGraphicFramePr>
            <a:graphic>
              <a:graphicData uri="http://schemas.openxmlformats.org/drawingml/2006/picture">
                <pic:pic>
                  <pic:nvPicPr>
                    <pic:cNvPr id="0" name="fig3_example_v8.png"/>
                    <pic:cNvPicPr/>
                  </pic:nvPicPr>
                  <pic:blipFill>
                    <a:blip r:embed="rId12"/>
                    <a:stretch>
                      <a:fillRect/>
                    </a:stretch>
                  </pic:blipFill>
                  <pic:spPr>
                    <a:xfrm>
                      <a:off x="0" y="0"/>
                      <a:ext cx="5852160" cy="3374350"/>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3. Omics image examples. A1-A3: one PAM50 mRNA sample shown as a 20×20 grayscale expression map, JSD importance map, and gene functional category map. B1-B3: one survival mRNA sample shown as a 15×15 grayscale expression map, JSD importance map, and gene functional category map. Axes indicate pixel positions; high-JSD features are placed centrally, and the functional category map aligns pixel-wise with the expression and JSD maps.</w:t>
      </w:r>
    </w:p>
    <w:p>
      <w:pPr>
        <w:pStyle w:val="Heading2"/>
        <w:spacing w:before="240" w:after="100"/>
        <w:jc w:val="left"/>
      </w:pPr>
      <w:r>
        <w:rPr>
          <w:rFonts w:ascii="Times New Roman" w:hAnsi="Times New Roman" w:eastAsia="微软雅黑" w:cs="Times New Roman"/>
          <w:b/>
          <w:color w:val="2E74B5"/>
          <w:sz w:val="26"/>
        </w:rPr>
        <w:t>3.2 单组学预测</w:t>
      </w:r>
    </w:p>
    <w:p>
      <w:pPr>
        <w:spacing w:after="120" w:line="300" w:lineRule="auto"/>
        <w:ind w:firstLine="440"/>
        <w:jc w:val="both"/>
      </w:pPr>
      <w:r>
        <w:rPr>
          <w:rFonts w:ascii="Times New Roman" w:hAnsi="Times New Roman" w:eastAsia="宋体" w:cs="Times New Roman"/>
          <w:b w:val="0"/>
          <w:sz w:val="22"/>
        </w:rPr>
        <w:t>Table 3 summarizes the overall best model for each task on full samples; Figure 4 shows all compared models with mean±SD. Full single-omics results are in Supplementary Table S4, and intersection single-omics baselines in Supplementary Table S5.</w:t>
      </w:r>
    </w:p>
    <w:p>
      <w:pPr>
        <w:spacing w:after="120" w:line="300" w:lineRule="auto"/>
        <w:ind w:firstLine="440"/>
        <w:jc w:val="both"/>
      </w:pPr>
      <w:r>
        <w:rPr>
          <w:rFonts w:ascii="Times New Roman" w:hAnsi="Times New Roman" w:eastAsia="宋体" w:cs="Times New Roman"/>
          <w:b w:val="0"/>
          <w:sz w:val="22"/>
        </w:rPr>
        <w:t>单组学结果显示，mRNA 对 PAM50 的判别能力最强，miRNA 次之，CNV 最弱；生存风险建模中 mRNA 与 CNV 的 C-index 接近，miRNA 较弱。各任务、各指标下的最优模型及其 5 折交叉验证 mean±SD 见表 3，完整模型比较见图 4 与补充表 S4。</w:t>
      </w:r>
    </w:p>
    <w:p>
      <w:pPr>
        <w:spacing w:before="80" w:after="80"/>
        <w:jc w:val="center"/>
      </w:pPr>
      <w:r>
        <w:rPr>
          <w:rFonts w:ascii="Times New Roman" w:hAnsi="Times New Roman" w:eastAsia="宋体" w:cs="Times New Roman"/>
          <w:b/>
          <w:color w:val="1F4D78"/>
          <w:sz w:val="19"/>
        </w:rPr>
        <w:t>Table 3. Overall best single-omics models on full samples (5-fold CV, mean±SD; features selected within each training fold). Per-omics and per-model detail is in Supplementary Table S4.</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702"/>
        <w:gridCol w:w="1872"/>
        <w:gridCol w:w="3063"/>
        <w:gridCol w:w="1361"/>
        <w:gridCol w:w="1362"/>
      </w:tblGrid>
      <w:tr>
        <w:trPr/>
        <w:tc>
          <w:tcPr>
            <w:tcW w:type="dxa" w:w="170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306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Best model</w:t>
            </w:r>
          </w:p>
        </w:tc>
        <w:tc>
          <w:tcPr>
            <w:tcW w:type="dxa" w:w="136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3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accuracy</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 LogisticRegression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0.9628</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0.0167</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macro_f1</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 LogisticRegression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0.9575</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0.0199</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roc_auc</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 LogisticRegression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0.6977</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0.0328</w:t>
            </w:r>
          </w:p>
        </w:tc>
      </w:tr>
      <w:tr>
        <w:trPr/>
        <w:tc>
          <w:tcPr>
            <w:tcW w:type="dxa" w:w="170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c_index</w:t>
            </w:r>
          </w:p>
        </w:tc>
        <w:tc>
          <w:tcPr>
            <w:tcW w:type="dxa" w:w="3063"/>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mRNA FullSizeCNN</w:t>
            </w:r>
          </w:p>
        </w:tc>
        <w:tc>
          <w:tcPr>
            <w:tcW w:type="dxa" w:w="1361"/>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0.7125</w:t>
            </w:r>
          </w:p>
        </w:tc>
        <w:tc>
          <w:tcPr>
            <w:tcW w:type="dxa" w:w="136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0.0303</w:t>
            </w:r>
          </w:p>
        </w:tc>
      </w:tr>
    </w:tbl>
    <w:p>
      <w:pPr>
        <w:spacing w:after="20" w:before="0"/>
      </w:pPr>
      <w:r>
        <w:rPr>
          <w:rFonts w:ascii="Times New Roman" w:hAnsi="Times New Roman" w:eastAsia="宋体" w:cs="Times New Roman"/>
          <w:sz w:val="4"/>
        </w:rPr>
      </w:r>
    </w:p>
    <w:p>
      <w:pPr>
        <w:keepNext/>
        <w:spacing w:before="100" w:after="20"/>
        <w:jc w:val="center"/>
      </w:pPr>
      <w:r>
        <w:drawing>
          <wp:inline xmlns:a="http://schemas.openxmlformats.org/drawingml/2006/main" xmlns:pic="http://schemas.openxmlformats.org/drawingml/2006/picture">
            <wp:extent cx="5852160" cy="3365333"/>
            <wp:docPr id="4" name="Picture 4"/>
            <wp:cNvGraphicFramePr>
              <a:graphicFrameLocks noChangeAspect="1"/>
            </wp:cNvGraphicFramePr>
            <a:graphic>
              <a:graphicData uri="http://schemas.openxmlformats.org/drawingml/2006/picture">
                <pic:pic>
                  <pic:nvPicPr>
                    <pic:cNvPr id="0" name="fig3_single_omics_v3.png"/>
                    <pic:cNvPicPr/>
                  </pic:nvPicPr>
                  <pic:blipFill>
                    <a:blip r:embed="rId13"/>
                    <a:stretch>
                      <a:fillRect/>
                    </a:stretch>
                  </pic:blipFill>
                  <pic:spPr>
                    <a:xfrm>
                      <a:off x="0" y="0"/>
                      <a:ext cx="5852160" cy="3365333"/>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4. Single-omics prediction on full samples. A and B: PAM50 Accuracy and Macro-F1; C and D: survival ROC AUC and C-index. Bars show 5-fold cross-validation mean±SD with features selected within each training fold. PAM50 sample sizes: mRNA 833, CNV 818, miRNA 497; survival: mRNA 1073, CNV 1057, miRNA 739.</w:t>
      </w:r>
    </w:p>
    <w:p>
      <w:pPr>
        <w:pStyle w:val="Heading2"/>
        <w:spacing w:before="240" w:after="100"/>
        <w:jc w:val="left"/>
      </w:pPr>
      <w:r>
        <w:rPr>
          <w:rFonts w:ascii="Times New Roman" w:hAnsi="Times New Roman" w:eastAsia="微软雅黑" w:cs="Times New Roman"/>
          <w:b/>
          <w:color w:val="2E74B5"/>
          <w:sz w:val="26"/>
        </w:rPr>
        <w:t>3.3 多组学整合</w:t>
      </w:r>
    </w:p>
    <w:p>
      <w:pPr>
        <w:spacing w:after="120" w:line="300" w:lineRule="auto"/>
        <w:ind w:firstLine="440"/>
        <w:jc w:val="both"/>
      </w:pPr>
      <w:r>
        <w:rPr>
          <w:rFonts w:ascii="Times New Roman" w:hAnsi="Times New Roman" w:eastAsia="宋体" w:cs="Times New Roman"/>
          <w:b w:val="0"/>
          <w:sz w:val="22"/>
        </w:rPr>
        <w:t>Figure 5 shows the triple-omics fusion methods; full fusion results are in Supplementary Table S6, and the best fusion versus the corresponding best single-omics comparison is summarized in Supplementary Table S10.</w:t>
      </w:r>
    </w:p>
    <w:p>
      <w:pPr>
        <w:spacing w:after="120" w:line="300" w:lineRule="auto"/>
        <w:ind w:firstLine="440"/>
        <w:jc w:val="both"/>
      </w:pPr>
      <w:r>
        <w:rPr>
          <w:rFonts w:ascii="Times New Roman" w:hAnsi="Times New Roman" w:eastAsia="宋体" w:cs="Times New Roman"/>
          <w:b w:val="0"/>
          <w:sz w:val="22"/>
        </w:rPr>
        <w:t>在 493 例三组学交集样本上，PAM50 的最优融合为 Transformer（Accuracy 0.9270±0.0132、Macro-F1 0.9288±0.0128）；简单拼接方法中 Concat SVC 的 Accuracy 与 Macro-F1 分别为 0.9168±0.0120、0.9125±0.0162。与交集最优单组学 mRNA LogisticRegression（0.9270±0.0217、0.9184±0.0316）相比，Transformer 在 Accuracy 上持平，Macro-F1 略优，但未形成统计显著优势。</w:t>
      </w:r>
    </w:p>
    <w:p>
      <w:pPr>
        <w:spacing w:after="120" w:line="300" w:lineRule="auto"/>
        <w:ind w:firstLine="440"/>
        <w:jc w:val="both"/>
      </w:pPr>
      <w:r>
        <w:rPr>
          <w:rFonts w:ascii="Times New Roman" w:hAnsi="Times New Roman" w:eastAsia="宋体" w:cs="Times New Roman"/>
          <w:b w:val="0"/>
          <w:sz w:val="22"/>
        </w:rPr>
        <w:t>生存风险建模中，CNN 晚期平均融合的 ROC AUC 为 0.7591±0.0619，三组学 Concat MLP 的 C-index 为 0.7588±0.0492；两者分别高于交集最优单组学 mRNA MLP（ROC AUC 0.7258±0.0690）和 mRNA FullSizeCNN（C-index 0.7448±0.0705），但统计检验显示提升未达到显著水平（补充表 S10）。在相同图像 backbone 下使用 Cox partial-likelihood 的 FullSizeCNN-Cox 得到 C-index 0.6818±0.0401，低于 BCE-based FullSizeCNN，进一步说明当前图像表示在严格时间到事件建模下未显示明确优势。</w:t>
      </w:r>
    </w:p>
    <w:p>
      <w:pPr>
        <w:keepNext/>
        <w:spacing w:before="100" w:after="20"/>
        <w:jc w:val="center"/>
      </w:pPr>
      <w:r>
        <w:drawing>
          <wp:inline xmlns:a="http://schemas.openxmlformats.org/drawingml/2006/main" xmlns:pic="http://schemas.openxmlformats.org/drawingml/2006/picture">
            <wp:extent cx="5852160" cy="3587313"/>
            <wp:docPr id="5" name="Picture 5"/>
            <wp:cNvGraphicFramePr>
              <a:graphicFrameLocks noChangeAspect="1"/>
            </wp:cNvGraphicFramePr>
            <a:graphic>
              <a:graphicData uri="http://schemas.openxmlformats.org/drawingml/2006/picture">
                <pic:pic>
                  <pic:nvPicPr>
                    <pic:cNvPr id="0" name="fig4_triple_integration_v2.png"/>
                    <pic:cNvPicPr/>
                  </pic:nvPicPr>
                  <pic:blipFill>
                    <a:blip r:embed="rId14"/>
                    <a:stretch>
                      <a:fillRect/>
                    </a:stretch>
                  </pic:blipFill>
                  <pic:spPr>
                    <a:xfrm>
                      <a:off x="0" y="0"/>
                      <a:ext cx="5852160" cy="3587313"/>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5. Triple-omics fusion results. A and B: PAM50 Accuracy and Macro-F1; C and D: survival ROC AUC and C-index. Error bars represent 5-fold cross-validation SD. PAM50 intersection n=493; survival intersection n=731.</w:t>
      </w:r>
    </w:p>
    <w:p>
      <w:pPr>
        <w:pStyle w:val="Heading2"/>
        <w:spacing w:before="240" w:after="100"/>
        <w:jc w:val="left"/>
      </w:pPr>
      <w:r>
        <w:rPr>
          <w:rFonts w:ascii="Times New Roman" w:hAnsi="Times New Roman" w:eastAsia="微软雅黑" w:cs="Times New Roman"/>
          <w:b/>
          <w:color w:val="2E74B5"/>
          <w:sz w:val="26"/>
        </w:rPr>
        <w:t>3.4 两两组学、Stacking 与复杂方法</w:t>
      </w:r>
    </w:p>
    <w:p>
      <w:pPr>
        <w:spacing w:after="120" w:line="300" w:lineRule="auto"/>
        <w:ind w:firstLine="440"/>
        <w:jc w:val="both"/>
      </w:pPr>
      <w:r>
        <w:rPr>
          <w:rFonts w:ascii="Times New Roman" w:hAnsi="Times New Roman" w:eastAsia="宋体" w:cs="Times New Roman"/>
          <w:b w:val="0"/>
          <w:sz w:val="22"/>
        </w:rPr>
        <w:t>两两组学中，PAM50 的 mRNA+CNV LogisticRegression 达到 Accuracy 0.9633±0.0039；mRNA+miRNA LogisticRegression 为 0.9095；CNV+miRNA LogisticRegression 为 0.8438。生存风险建模中，mRNA+CNV Concat MLP 的 C-index 为 0.7451，mRNA+miRNA Concat MLP 为 0.7337，CNV+miRNA CNN LateAvg 为 0.7216。9 模型 Stacking 的 PAM50 Accuracy 为 0.9229，生存 C-index 为 0.7321、ROC AUC 为 0.7469，未稳定超过最优简单融合。</w:t>
      </w:r>
    </w:p>
    <w:p>
      <w:pPr>
        <w:spacing w:after="120" w:line="300" w:lineRule="auto"/>
        <w:ind w:firstLine="440"/>
        <w:jc w:val="both"/>
      </w:pPr>
      <w:r>
        <w:rPr>
          <w:rFonts w:ascii="Times New Roman" w:hAnsi="Times New Roman" w:eastAsia="宋体" w:cs="Times New Roman"/>
          <w:b w:val="0"/>
          <w:sz w:val="22"/>
        </w:rPr>
        <w:t>在复杂方法中，Transformer 在 PAM50 上表现较好（Accuracy 0.9270、Macro-F1 0.9288），但生存 C-index 为 0.6938；Multi-task、DeepSurv、低秩双线性和 GNN 未在当前小样本上显示出稳定提升。Figure 6 汇总了这些复杂方法的 PAM50 与生存结果。</w:t>
      </w:r>
    </w:p>
    <w:p>
      <w:pPr>
        <w:keepNext/>
        <w:spacing w:before="100" w:after="20"/>
        <w:jc w:val="center"/>
      </w:pPr>
      <w:r>
        <w:drawing>
          <wp:inline xmlns:a="http://schemas.openxmlformats.org/drawingml/2006/main" xmlns:pic="http://schemas.openxmlformats.org/drawingml/2006/picture">
            <wp:extent cx="5852160" cy="3749040"/>
            <wp:docPr id="6" name="Picture 6"/>
            <wp:cNvGraphicFramePr>
              <a:graphicFrameLocks noChangeAspect="1"/>
            </wp:cNvGraphicFramePr>
            <a:graphic>
              <a:graphicData uri="http://schemas.openxmlformats.org/drawingml/2006/picture">
                <pic:pic>
                  <pic:nvPicPr>
                    <pic:cNvPr id="0" name="fig5_advanced_methods_v2.png"/>
                    <pic:cNvPicPr/>
                  </pic:nvPicPr>
                  <pic:blipFill>
                    <a:blip r:embed="rId15"/>
                    <a:stretch>
                      <a:fillRect/>
                    </a:stretch>
                  </pic:blipFill>
                  <pic:spPr>
                    <a:xfrm>
                      <a:off x="0" y="0"/>
                      <a:ext cx="5852160" cy="3749040"/>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6. Advanced integration methods. A and B: PAM50 Accuracy and Macro-F1; C and D: survival ROC AUC and C-index. Methods include Multi-task, DeepSurv, Transformer, low-rank bilinear fusion, and GNN. Error bars represent 5-fold cross-validation SD.</w:t>
      </w:r>
    </w:p>
    <w:p>
      <w:pPr>
        <w:pStyle w:val="Heading2"/>
        <w:spacing w:before="240" w:after="100"/>
        <w:jc w:val="left"/>
      </w:pPr>
      <w:r>
        <w:rPr>
          <w:rFonts w:ascii="Times New Roman" w:hAnsi="Times New Roman" w:eastAsia="微软雅黑" w:cs="Times New Roman"/>
          <w:b/>
          <w:color w:val="2E74B5"/>
          <w:sz w:val="26"/>
        </w:rPr>
        <w:t>3.5 统计检验</w:t>
      </w:r>
    </w:p>
    <w:p>
      <w:pPr>
        <w:spacing w:after="120" w:line="300" w:lineRule="auto"/>
        <w:ind w:firstLine="440"/>
        <w:jc w:val="both"/>
      </w:pPr>
      <w:r>
        <w:rPr>
          <w:rFonts w:ascii="Times New Roman" w:hAnsi="Times New Roman" w:eastAsia="宋体" w:cs="Times New Roman"/>
          <w:b w:val="0"/>
          <w:sz w:val="22"/>
        </w:rPr>
        <w:t>Supplementary Table S10 lists paired t-test and Wilcoxon results between the best fusion and the corresponding best single-omics model on the same folds; pairwise fusion results are in Supplementary Table S7, and stacking and complex methods in Supplementary Tables S8-S9.</w:t>
      </w:r>
    </w:p>
    <w:p>
      <w:pPr>
        <w:spacing w:after="120" w:line="300" w:lineRule="auto"/>
        <w:ind w:firstLine="440"/>
        <w:jc w:val="both"/>
      </w:pPr>
      <w:r>
        <w:rPr>
          <w:rFonts w:ascii="Times New Roman" w:hAnsi="Times New Roman" w:eastAsia="宋体" w:cs="Times New Roman"/>
          <w:b w:val="0"/>
          <w:sz w:val="22"/>
        </w:rPr>
        <w:t>对最优融合与对应最优单组学进行配对检验：PAM50 上 Transformer 与 mRNA LogisticRegression 的 Accuracy 差值为 0.0000（配对 t 检验 p=0.9979，Wilcoxon p=0.8750），Macro-F1 差值为 0.0104（p=0.6125，Wilcoxon p=1.0000）；生存上 CNN 晚期平均融合与 mRNA MLP 的 ROC AUC 差值为 0.0333（p=0.0930，Wilcoxon p=0.1250），三组学 Concat MLP 与 mRNA FullSizeCNN 的 C-index 差值为 0.0140（p=0.5480，Wilcoxon p=0.4375）。因此，所有最优融合均未较对应最优单组学达到统计显著优势。</w:t>
      </w:r>
    </w:p>
    <w:p>
      <w:pPr>
        <w:pStyle w:val="Heading2"/>
        <w:spacing w:before="240" w:after="100"/>
        <w:jc w:val="left"/>
      </w:pPr>
      <w:r>
        <w:rPr>
          <w:rFonts w:ascii="Times New Roman" w:hAnsi="Times New Roman" w:eastAsia="微软雅黑" w:cs="Times New Roman"/>
          <w:b/>
          <w:color w:val="2E74B5"/>
          <w:sz w:val="26"/>
        </w:rPr>
        <w:t>3.6 可解释性与关键因子</w:t>
      </w:r>
    </w:p>
    <w:p>
      <w:pPr>
        <w:spacing w:after="120" w:line="300" w:lineRule="auto"/>
        <w:ind w:firstLine="440"/>
        <w:jc w:val="both"/>
      </w:pPr>
      <w:r>
        <w:rPr>
          <w:rFonts w:ascii="Times New Roman" w:hAnsi="Times New Roman" w:eastAsia="宋体" w:cs="Times New Roman"/>
          <w:b w:val="0"/>
          <w:sz w:val="22"/>
        </w:rPr>
        <w:t>可解释分析中，SHAP 采用 scikit-learn LogisticRegression 的 LinearExplainer，以当前训练折全部样本作为背景（background）计算测试折样本的加性归因；CNN saliency 采用输入梯度在 5 折上的聚合；功能富集以 mRNA 全转录组基因作为背景基因集（universe），通过 g:Profiler 进行 GO/KEGG/Reactome 富集，多重检验采用 g:Profiler 默认校正。</w:t>
      </w:r>
    </w:p>
    <w:p>
      <w:pPr>
        <w:spacing w:after="120" w:line="300" w:lineRule="auto"/>
        <w:ind w:firstLine="440"/>
        <w:jc w:val="both"/>
      </w:pPr>
      <w:r>
        <w:rPr>
          <w:rFonts w:ascii="Times New Roman" w:hAnsi="Times New Roman" w:eastAsia="宋体" w:cs="Times New Roman"/>
          <w:b w:val="0"/>
          <w:sz w:val="22"/>
        </w:rPr>
        <w:t>SHAP 分析显示，mRNA PAM50 LogisticRegression 的关键基因包括 CYP2B7P1、TFF1、C1orf64、AGR3、KCNJ3、MIA、PPP1R14C、ESR1 和 STAC2。CNN saliency 与 SHAP 的共识基因包括 TCAM1P、MIA、SMC1B、PPP1R14C、KLK6、SLC6A11、FABP7 和 FOXC1。生存单变量 Cox 分析识别出 MS4A1、COL17A1、C2orf40、PLA2G2D、FABP7、CCL19 和 GZMB。通路富集提示雌激素信号、细胞增殖调控、细胞分裂和上皮发育等生物学过程；SHAP、saliency、consensus、survival Cox 与 pathway enrichment 图分别见补充材料图 S5–S9。</w:t>
      </w:r>
    </w:p>
    <w:p>
      <w:pPr>
        <w:spacing w:after="120" w:line="300" w:lineRule="auto"/>
        <w:ind w:firstLine="440"/>
        <w:jc w:val="both"/>
      </w:pPr>
      <w:r>
        <w:rPr>
          <w:rFonts w:ascii="Times New Roman" w:hAnsi="Times New Roman" w:eastAsia="宋体" w:cs="Times New Roman"/>
          <w:b w:val="0"/>
          <w:sz w:val="22"/>
        </w:rPr>
        <w:t>为进一步说明 JSD 图像化如何把表达值、判别重要性和功能注释统一到同一像素坐标系，Figure 7 将同一 mRNA 样本的表达灰度图（A）、JSD 重要性图（B）和功能类别图（C）并列，并将 SHAP 重要性（D）、CNN saliency（E）及功能类别/saliency 叠加图（F）映射回相同坐标。这样，模型归因和关键因子能够直接定位到对应的基因像素，而不只是在表格层面输出一个基因列表。</w:t>
      </w:r>
    </w:p>
    <w:p>
      <w:pPr>
        <w:keepNext/>
        <w:spacing w:before="100" w:after="20"/>
        <w:jc w:val="center"/>
      </w:pPr>
      <w:r>
        <w:drawing>
          <wp:inline xmlns:a="http://schemas.openxmlformats.org/drawingml/2006/main" xmlns:pic="http://schemas.openxmlformats.org/drawingml/2006/picture">
            <wp:extent cx="5852160" cy="3369792"/>
            <wp:docPr id="7" name="Picture 7"/>
            <wp:cNvGraphicFramePr>
              <a:graphicFrameLocks noChangeAspect="1"/>
            </wp:cNvGraphicFramePr>
            <a:graphic>
              <a:graphicData uri="http://schemas.openxmlformats.org/drawingml/2006/picture">
                <pic:pic>
                  <pic:nvPicPr>
                    <pic:cNvPr id="0" name="fig7_jsd_v3.png"/>
                    <pic:cNvPicPr/>
                  </pic:nvPicPr>
                  <pic:blipFill>
                    <a:blip r:embed="rId16"/>
                    <a:stretch>
                      <a:fillRect/>
                    </a:stretch>
                  </pic:blipFill>
                  <pic:spPr>
                    <a:xfrm>
                      <a:off x="0" y="0"/>
                      <a:ext cx="5852160" cy="3369792"/>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7. JSD-based feature-mining visualization. A-C: grayscale expression, JSD importance, and functional category maps; D-F: SHAP importance, CNN saliency, and functional-category/saliency overlay maps. Axes indicate pixel positions; the JSD imaging scheme aligns expression, importance, function, and model attention in a common pixel coordinate system.</w:t>
      </w:r>
    </w:p>
    <w:p>
      <w:pPr>
        <w:pStyle w:val="Heading2"/>
        <w:spacing w:before="240" w:after="100"/>
        <w:jc w:val="left"/>
      </w:pPr>
      <w:r>
        <w:rPr>
          <w:rFonts w:ascii="Times New Roman" w:hAnsi="Times New Roman" w:eastAsia="微软雅黑" w:cs="Times New Roman"/>
          <w:b/>
          <w:color w:val="2E74B5"/>
          <w:sz w:val="26"/>
        </w:rPr>
        <w:t>3.7 功能类别遮盖与可解释性分析</w:t>
      </w:r>
    </w:p>
    <w:p>
      <w:pPr>
        <w:spacing w:after="120" w:line="300" w:lineRule="auto"/>
        <w:ind w:firstLine="440"/>
        <w:jc w:val="both"/>
      </w:pPr>
      <w:r>
        <w:rPr>
          <w:rFonts w:ascii="Times New Roman" w:hAnsi="Times New Roman" w:eastAsia="宋体" w:cs="Times New Roman"/>
          <w:b w:val="0"/>
          <w:sz w:val="22"/>
        </w:rPr>
        <w:t>为进一步解释组学图像中不同功能区域对模型的贡献，本研究在方案2（功能大类分块 + 中心高重要性 + 中心向外螺旋填充）图像上实施功能类别遮盖实验。与最初的 JSD 全局排序图像不同，方案2先按基因功能类别分块，再在块内按 JSD 降序，并以块平均重要性由中心向外螺旋填充，因此同一颜色区域对应同一功能模块，中心区域对应高 JSD 模块。该设计使图像像素邻接具有更明确的生物学含义，并支持对连续功能区域进行模块级遮挡；遮盖流程如图 8 所示。</w:t>
      </w:r>
    </w:p>
    <w:p>
      <w:pPr>
        <w:keepNext/>
        <w:spacing w:before="100" w:after="20"/>
        <w:jc w:val="center"/>
      </w:pPr>
      <w:r>
        <w:drawing>
          <wp:inline xmlns:a="http://schemas.openxmlformats.org/drawingml/2006/main" xmlns:pic="http://schemas.openxmlformats.org/drawingml/2006/picture">
            <wp:extent cx="5852160" cy="2707716"/>
            <wp:docPr id="8" name="Picture 8"/>
            <wp:cNvGraphicFramePr>
              <a:graphicFrameLocks noChangeAspect="1"/>
            </wp:cNvGraphicFramePr>
            <a:graphic>
              <a:graphicData uri="http://schemas.openxmlformats.org/drawingml/2006/picture">
                <pic:pic>
                  <pic:nvPicPr>
                    <pic:cNvPr id="0" name="fig_scheme2_masking_flow_en_v2.png"/>
                    <pic:cNvPicPr/>
                  </pic:nvPicPr>
                  <pic:blipFill>
                    <a:blip r:embed="rId17"/>
                    <a:stretch>
                      <a:fillRect/>
                    </a:stretch>
                  </pic:blipFill>
                  <pic:spPr>
                    <a:xfrm>
                      <a:off x="0" y="0"/>
                      <a:ext cx="5852160" cy="2707716"/>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8. Scheme-2 functional-category masking workflow. The target category pixels are set to zero, FullSizeCNN is retrained, and PAM50/survival performance is compared with the unmasked baseline. A, B, and C show the before-masking expression map, functional category map, and after-masking map, respectively.</w:t>
      </w:r>
    </w:p>
    <w:p>
      <w:pPr>
        <w:spacing w:after="120" w:line="300" w:lineRule="auto"/>
        <w:ind w:firstLine="440"/>
        <w:jc w:val="both"/>
      </w:pPr>
      <w:r>
        <w:rPr>
          <w:rFonts w:ascii="Times New Roman" w:hAnsi="Times New Roman" w:eastAsia="宋体" w:cs="Times New Roman"/>
          <w:b w:val="0"/>
          <w:sz w:val="22"/>
        </w:rPr>
        <w:t>对 mRNA、CNV 和 miRNA 分别遮盖 Development/Epithelium、Signaling/Transport、Hormone/Metabolism、Cell cycle/Proliferation 和 Other 等类别。mRNA PAM50 基线 Accuracy 为 0.9244±0.0124，Macro-F1 为 0.9069±0.0133；遮盖 Other 后 Macro-F1 降至 0.8819±0.0210。mRNA 生存基线 C-index 为 0.6984±0.0756，遮盖 Other 后降至 0.6757±0.0715。CNV 和 miRNA 同样显示 Other 类遮盖后性能下降最明显，但由于 Other 类特征数量较多，下降幅度同时受模块大小影响；CNV 与 miRNA 的遮盖结果见图 9，mRNA 结果见补充材料表 S16，CNV/miRNA 结果见补充材料表 S17。</w:t>
      </w:r>
    </w:p>
    <w:p>
      <w:pPr>
        <w:keepNext/>
        <w:spacing w:before="100" w:after="20"/>
        <w:jc w:val="center"/>
      </w:pPr>
      <w:r>
        <w:drawing>
          <wp:inline xmlns:a="http://schemas.openxmlformats.org/drawingml/2006/main" xmlns:pic="http://schemas.openxmlformats.org/drawingml/2006/picture">
            <wp:extent cx="5852160" cy="3566160"/>
            <wp:docPr id="9" name="Picture 9"/>
            <wp:cNvGraphicFramePr>
              <a:graphicFrameLocks noChangeAspect="1"/>
            </wp:cNvGraphicFramePr>
            <a:graphic>
              <a:graphicData uri="http://schemas.openxmlformats.org/drawingml/2006/picture">
                <pic:pic>
                  <pic:nvPicPr>
                    <pic:cNvPr id="0" name="fig_other_omics_category_masking_v3.png"/>
                    <pic:cNvPicPr/>
                  </pic:nvPicPr>
                  <pic:blipFill>
                    <a:blip r:embed="rId18"/>
                    <a:stretch>
                      <a:fillRect/>
                    </a:stretch>
                  </pic:blipFill>
                  <pic:spPr>
                    <a:xfrm>
                      <a:off x="0" y="0"/>
                      <a:ext cx="5852160" cy="3566160"/>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9. CNV and miRNA functional-category masking results. A-D: CNV PAM50, CNV Survival, miRNA PAM50, and miRNA Survival Accuracy or C-index. Error bars represent 5-fold cross-validation SD.</w:t>
      </w:r>
    </w:p>
    <w:p>
      <w:pPr>
        <w:spacing w:after="120" w:line="300" w:lineRule="auto"/>
        <w:ind w:firstLine="440"/>
        <w:jc w:val="both"/>
      </w:pPr>
      <w:r>
        <w:rPr>
          <w:rFonts w:ascii="Times New Roman" w:hAnsi="Times New Roman" w:eastAsia="宋体" w:cs="Times New Roman"/>
          <w:b w:val="0"/>
          <w:sz w:val="22"/>
        </w:rPr>
        <w:t>为区分“功能模块特异性贡献”与“特征数量/区域大小效应”，对 mRNA 每个类别设置同数量随机基因遮盖对照。结果显示，功能类别遮盖与等量随机遮盖的性能差异在多数比较中未达到显著水平。对 mRNA PAM50 Other 基因重新富集发现，其仍显著富集于上皮细胞分化、上皮发育、组织发育、雌激素信号通路和细胞群体增殖等过程。SHAP 与 CNN saliency 共识基因的类别交叉分析显示，Top50 共识基因主要落在 Development/Epithelium 和 Other 中，其次是 Cell cycle/Proliferation、Signaling/Transport 和 Hormone/Metabolism。配对检验未显示大多数功能类别遮盖与基线之间存在稳健显著差异；折级指标见补充材料表 S18，配对检验见补充材料表 S19，Other 类二次富集见补充材料表 S20，共识基因重叠见补充材料表 S21。</w:t>
      </w:r>
    </w:p>
    <w:p>
      <w:pPr>
        <w:pStyle w:val="Heading2"/>
        <w:spacing w:before="240" w:after="100"/>
        <w:jc w:val="left"/>
      </w:pPr>
      <w:r>
        <w:rPr>
          <w:rFonts w:ascii="Times New Roman" w:hAnsi="Times New Roman" w:eastAsia="微软雅黑" w:cs="Times New Roman"/>
          <w:b/>
          <w:color w:val="2E74B5"/>
          <w:sz w:val="26"/>
        </w:rPr>
        <w:t>3.8 基因互作与网络重排分析</w:t>
      </w:r>
    </w:p>
    <w:p>
      <w:pPr>
        <w:spacing w:after="120" w:line="300" w:lineRule="auto"/>
        <w:ind w:firstLine="440"/>
        <w:jc w:val="both"/>
      </w:pPr>
      <w:r>
        <w:rPr>
          <w:rFonts w:ascii="Times New Roman" w:hAnsi="Times New Roman" w:eastAsia="宋体" w:cs="Times New Roman"/>
          <w:b w:val="0"/>
          <w:sz w:val="22"/>
        </w:rPr>
        <w:t>mRNA consensus genes 的 STRING PPI 网络主要涉及 ESR1、PGR、MYBL2、BIRC5 和 E2F8，提示激素信号与细胞增殖/有丝分裂程序的耦合；由于仅保留高置信边，PPI 结果应视为探索性证据。mRNA 共表达网络在较高阈值下形成较稀疏的社区结构；miRNA–mRNA 与 CNV–mRNA 分析识别出若干候选跨组学调控边。按共表达社区重排 mRNA 图像后，FullSizeCNN 的 Accuracy 为 0.8931，低于原始 JSD 螺旋排序，说明生物邻接关系能够提供可解释性上下文，但当前未带来预测性能提升；完整网络文件与总览图见补充材料 S22、图 S17，社区重排对比见表 S30。</w:t>
      </w:r>
    </w:p>
    <w:p>
      <w:pPr>
        <w:keepNext/>
        <w:spacing w:before="100" w:after="20"/>
        <w:jc w:val="center"/>
      </w:pPr>
      <w:r>
        <w:drawing>
          <wp:inline xmlns:a="http://schemas.openxmlformats.org/drawingml/2006/main" xmlns:pic="http://schemas.openxmlformats.org/drawingml/2006/picture">
            <wp:extent cx="5852160" cy="4296022"/>
            <wp:docPr id="10" name="Picture 10"/>
            <wp:cNvGraphicFramePr>
              <a:graphicFrameLocks noChangeAspect="1"/>
            </wp:cNvGraphicFramePr>
            <a:graphic>
              <a:graphicData uri="http://schemas.openxmlformats.org/drawingml/2006/picture">
                <pic:pic>
                  <pic:nvPicPr>
                    <pic:cNvPr id="0" name="fig_gene_interaction_overview.png"/>
                    <pic:cNvPicPr/>
                  </pic:nvPicPr>
                  <pic:blipFill>
                    <a:blip r:embed="rId19"/>
                    <a:stretch>
                      <a:fillRect/>
                    </a:stretch>
                  </pic:blipFill>
                  <pic:spPr>
                    <a:xfrm>
                      <a:off x="0" y="0"/>
                      <a:ext cx="5852160" cy="4296022"/>
                    </a:xfrm>
                    <a:prstGeom prst="rect"/>
                  </pic:spPr>
                </pic:pic>
              </a:graphicData>
            </a:graphic>
          </wp:inline>
        </w:drawing>
      </w:r>
    </w:p>
    <w:p>
      <w:pPr>
        <w:spacing w:before="60" w:after="180"/>
        <w:jc w:val="center"/>
      </w:pPr>
      <w:r>
        <w:rPr>
          <w:rFonts w:ascii="Times New Roman" w:hAnsi="Times New Roman" w:eastAsia="宋体" w:cs="Times New Roman"/>
          <w:color w:val="555555"/>
          <w:sz w:val="18"/>
        </w:rPr>
        <w:t>Figure 10. Gene interaction analysis overview. A: consensus-gene STRING PPI; B: mRNA co-expression communities; C: top miRNA-mRNA negative correlations; D: top CNV-mRNA correlations. The community-informed ordering is compared with the JSD spiral ordering in Supplementary Table S30.</w:t>
      </w:r>
    </w:p>
    <w:p>
      <w:pPr>
        <w:pStyle w:val="Heading1"/>
        <w:spacing w:before="320" w:after="140"/>
        <w:jc w:val="left"/>
      </w:pPr>
      <w:r>
        <w:rPr>
          <w:rFonts w:ascii="Times New Roman" w:hAnsi="Times New Roman" w:eastAsia="微软雅黑" w:cs="Times New Roman"/>
          <w:b/>
          <w:color w:val="2E74B5"/>
          <w:sz w:val="32"/>
        </w:rPr>
        <w:t>4. 讨论</w:t>
      </w:r>
    </w:p>
    <w:p>
      <w:pPr>
        <w:spacing w:after="120" w:line="300" w:lineRule="auto"/>
        <w:ind w:firstLine="440"/>
        <w:jc w:val="both"/>
      </w:pPr>
      <w:r>
        <w:rPr>
          <w:rFonts w:ascii="Times New Roman" w:hAnsi="Times New Roman" w:eastAsia="宋体" w:cs="Times New Roman"/>
          <w:b w:val="0"/>
          <w:sz w:val="22"/>
        </w:rPr>
        <w:t>在本数据集中，mRNA 是 PAM50 分型的主要信号源，其 LogisticRegression 和 SVC 已接近高精度，而 FullSizeCNN 在小样本下也达到 0.93 以上 Accuracy。CNV 单独预测能力有限，但在生存风险建模中 CoxPH 和 LogisticRegression 的 C-index 与 mRNA 接近，提示拷贝数变异可能携带与长期结局相关的补充信息。miRNA 的样本量较小，单组学性能较低。</w:t>
      </w:r>
    </w:p>
    <w:p>
      <w:pPr>
        <w:spacing w:after="120" w:line="300" w:lineRule="auto"/>
        <w:ind w:firstLine="440"/>
        <w:jc w:val="both"/>
      </w:pPr>
      <w:r>
        <w:rPr>
          <w:rFonts w:ascii="Times New Roman" w:hAnsi="Times New Roman" w:eastAsia="宋体" w:cs="Times New Roman"/>
          <w:b w:val="0"/>
          <w:sz w:val="22"/>
        </w:rPr>
        <w:t>为区分“PAM50 分型预测”与“PAM50 基因面板重建”，本研究在 mRNA PAM50 任务上进行了 50 基因剔除敏感性分析：将最终 400 个 JSD 排序特征中与经典 PAM50 50 基因重叠的 21 个基因剔除后，LogisticRegression 的 5 折 Accuracy 保持不变（0.9628±0.0138），MLP 与 FullSizeCNN 仅有轻微波动；而仅保留这 21 个 PAM50 基因时，LogisticRegression Accuracy 降至 0.9220±0.0076。该结果表明，JSD 筛选出的 mRNA 特征集所携带的判别信息并非主要来自经典 PAM50 基因面板，而是覆盖了更广的转录组信号，因此本研究的 mRNA PAM50 任务应理解为对既有分子亚型的重建（subtype reconstruction），而非对 PAM50 50 基因面板的简单复现，也不宜被解释为独立的临床预后预测器。</w:t>
      </w:r>
    </w:p>
    <w:p>
      <w:pPr>
        <w:spacing w:after="120" w:line="300" w:lineRule="auto"/>
        <w:ind w:firstLine="440"/>
        <w:jc w:val="both"/>
      </w:pPr>
      <w:r>
        <w:rPr>
          <w:rFonts w:ascii="Times New Roman" w:hAnsi="Times New Roman" w:eastAsia="宋体" w:cs="Times New Roman"/>
          <w:b w:val="0"/>
          <w:sz w:val="22"/>
        </w:rPr>
        <w:t>多组学融合对 PAM50 的增益有限，主要原因是 mRNA 已具有强判别能力，其他组学在高维小样本条件下容易引入噪声。生存风险建模中，简单拼接 MLP 和 CNN 晚期平均融合的均值优于单组学，说明多组学在生存风险建模中的互补性更强；但配对 t 检验与 Wilcoxon 检验均未达到 0.05 显著性水平（ROC AUC 的配对 t 检验 p=0.093），提示当前样本量不足以稳定区分融合策略。</w:t>
      </w:r>
    </w:p>
    <w:p>
      <w:pPr>
        <w:spacing w:after="120" w:line="300" w:lineRule="auto"/>
        <w:ind w:firstLine="440"/>
        <w:jc w:val="both"/>
      </w:pPr>
      <w:r>
        <w:rPr>
          <w:rFonts w:ascii="Times New Roman" w:hAnsi="Times New Roman" w:eastAsia="宋体" w:cs="Times New Roman"/>
          <w:b w:val="0"/>
          <w:sz w:val="22"/>
        </w:rPr>
        <w:t>JSD 图像化的优势在于提供可解释性，而不是仅仅追求最高预测精度。传统 CNN 将基因排列成任意二维结构，像素邻接关系可能缺乏生物学意义；本研究通过把 JSD 高分基因放在中心，并同时绘制基因功能类别图和模型 saliency 图，使卷积关注区域可以直观映射到关键基因和通路。</w:t>
      </w:r>
    </w:p>
    <w:p>
      <w:pPr>
        <w:spacing w:after="120" w:line="300" w:lineRule="auto"/>
        <w:ind w:firstLine="440"/>
        <w:jc w:val="both"/>
      </w:pPr>
      <w:r>
        <w:rPr>
          <w:rFonts w:ascii="Times New Roman" w:hAnsi="Times New Roman" w:eastAsia="宋体" w:cs="Times New Roman"/>
          <w:b w:val="0"/>
          <w:sz w:val="22"/>
        </w:rPr>
        <w:t>为进一步检验二维空间结构本身是否带来额外增益，本研究训练了与 FullSizeCNN 参数量一致的 Dense 等价基线（Flatten→Dense(32)→Dense(64)→输出，首层参数量与全尺寸卷积核完全相同）。结果显示，该 Dense 基线在 PAM50 上整体优于或持平 FullSizeCNN（mRNA Accuracy 0.9568±0.0184 对 0.9316±0.0071；CNV 0.7238 对 0.7164；miRNA 0.8370 对 0.8230），而生存风险建模中两者互有高低且差异未超过交叉验证标准差（mRNA C-index 0.6802 对 0.7125）。因此，本数据中的判别信息主要来自原始特征数值本身，而非人为构造的二维邻接结构；FullSizeCNN 图像化的价值在于把特征重要性、功能类别和模型注意力统一到同一像素坐标系，从而支撑可解释分析，而非提升预测精度。</w:t>
      </w:r>
    </w:p>
    <w:p>
      <w:pPr>
        <w:spacing w:after="120" w:line="300" w:lineRule="auto"/>
        <w:ind w:firstLine="440"/>
        <w:jc w:val="both"/>
      </w:pPr>
      <w:r>
        <w:rPr>
          <w:rFonts w:ascii="Times New Roman" w:hAnsi="Times New Roman" w:eastAsia="宋体" w:cs="Times New Roman"/>
          <w:b w:val="0"/>
          <w:sz w:val="22"/>
        </w:rPr>
        <w:t>作为对排序假设的直接检验，本研究在 mRNA 上对 JSD 螺旋排序与 20 次随机基因排列进行了对照。结果表明，JSD 螺旋排序并未优于随机排列：PAM50 Accuracy 的 JSD 结果为 0.9316，而 20 次随机排列的均值为 0.9267（范围 0.9112–0.9400，经验 p=0.25）；Survival C-index 的 JSD 结果为 0.7125，随机排列均值为 0.7055（经验 p=0.35）。均值表达排序在 PAM50 Accuracy 上与 JSD 完全一致（0.9316），进一步说明二维像素位置本身几乎不携带预测信息。据此，本文将组学图像化明确限定为一种“可解释的空间表示”，而不是能提升分类或生存风险排序精度的排序方法。</w:t>
      </w:r>
    </w:p>
    <w:p>
      <w:pPr>
        <w:spacing w:after="120" w:line="300" w:lineRule="auto"/>
        <w:ind w:firstLine="440"/>
        <w:jc w:val="both"/>
      </w:pPr>
      <w:r>
        <w:rPr>
          <w:rFonts w:ascii="Times New Roman" w:hAnsi="Times New Roman" w:eastAsia="宋体" w:cs="Times New Roman"/>
          <w:b w:val="0"/>
          <w:sz w:val="22"/>
        </w:rPr>
        <w:t>为控制特征数量选择与最终评估共用同一交叉验证可能带来的选择偏倚，本研究进一步在 mRNA PAM50 上进行了无泄漏嵌套交叉验证：外层 5-fold × 5 repeats，内层 3-fold 选择特征数（200/400），特征筛选采用 V_L1，并在所选特征上按 JSD 排序生成 FullSizeCNN 图像。结果显示，LogisticRegression 的 Accuracy 为 0.8392±0.0288，FullSizeCNN 为 0.8510±0.0282，Dense 等价基线为 0.8449±0.0326；三者均低于正文基于最终 400 特征的结果，且 FullSizeCNN 与 Dense 的差异未超过交叉验证标准差。该差异可能同时来自特征数选择和特征筛选流程的改变，而非单一的选择偏倚，因此不能把 0.9628 与 0.8392 的落差完全归因于原主结果的乐观偏差。这再次表明，二维空间布局本身并未提供稳定的预测增益，正文结果应理解为基于训练折内预选特征的 exploratory CV estimate；完整结果见补充材料表 S24–S26。</w:t>
      </w:r>
    </w:p>
    <w:p>
      <w:pPr>
        <w:spacing w:after="120" w:line="300" w:lineRule="auto"/>
        <w:ind w:firstLine="440"/>
        <w:jc w:val="both"/>
      </w:pPr>
      <w:r>
        <w:rPr>
          <w:rFonts w:ascii="Times New Roman" w:hAnsi="Times New Roman" w:eastAsia="宋体" w:cs="Times New Roman"/>
          <w:b w:val="0"/>
          <w:sz w:val="22"/>
        </w:rPr>
        <w:t>为区分死亡状态分类与严格时间到事件建模，本研究进一步将 FullSizeCNN 输出层替换为 Cox partial-likelihood objective，得到 FullSizeCNN-Cox 的 C-index 为 0.6818±0.0401，低于 BCE-based FullSizeCNN 的 0.7125±0.0303。这表明当前图像表示在严格删失感知生存建模下仍保留一定风险排序信息，但未显示出相对于传统时间到事件模型的明确优势；相关结果见补充材料表 S26。</w:t>
      </w:r>
    </w:p>
    <w:p>
      <w:pPr>
        <w:spacing w:after="120" w:line="300" w:lineRule="auto"/>
        <w:ind w:firstLine="440"/>
        <w:jc w:val="both"/>
      </w:pPr>
      <w:r>
        <w:rPr>
          <w:rFonts w:ascii="Times New Roman" w:hAnsi="Times New Roman" w:eastAsia="宋体" w:cs="Times New Roman"/>
          <w:b w:val="0"/>
          <w:sz w:val="22"/>
        </w:rPr>
        <w:t>基因互作分析进一步显示，consensus genes 主要富集于激素信号、增殖与有丝分裂相关的 STRING 互作网络；跨组学分析也识别出若干 miRNA–mRNA 负相关及 CNV–mRNA 相关候选边。然而，按共表达社区重排 mRNA 图像后，FullSizeCNN 的 Accuracy 为 0.8931，并未超过原始 JSD 螺旋排序，说明生物邻接关系能够丰富可解释性，但尚未证明其能够稳定提升当前全尺寸卷积模型的预测性能。</w:t>
      </w:r>
    </w:p>
    <w:p>
      <w:pPr>
        <w:spacing w:after="120" w:line="300" w:lineRule="auto"/>
        <w:ind w:firstLine="440"/>
        <w:jc w:val="both"/>
      </w:pPr>
      <w:r>
        <w:rPr>
          <w:rFonts w:ascii="Times New Roman" w:hAnsi="Times New Roman" w:eastAsia="宋体" w:cs="Times New Roman"/>
          <w:b w:val="0"/>
          <w:sz w:val="22"/>
        </w:rPr>
        <w:t>面向 Molecular Stress Responses and Adaptive Reprogramming 这一目标主题，本研究在全转录组层面进一步考察了 Hypoxia、ROS、OXPHOS、UPR、mTORC1、Glycolysis、EMT 和 DNA repair 八条应激/适应性重编程通路与 JSD 高重要性基因、PAM50 亚型及生存风险的关系。结果显示，这些通路在前 500 个 JSD 高重要性基因中均未达到名义显著性富集（Fisher p 经 BH-FDR 校正后均不显著），单变量 Cox 分析也未发现任一通路评分与总生存显著相关。通路评分在 PAM50 亚型间高度差异（Kruskal-Wallis p&lt;0.001），但这在表达定义亚型的背景下是预期现象。因此，在当前的 bulk 表达和紧凑型标志基因签名框架下，尚未观察到这些经典应激通路对判别或预后的独立贡献；相关结果应作为探索性阴性发现，并提示后续需在单细胞、空间转录组或通路过表达/敲低层面进一步验证。乳腺癌转移中的翻译适应与应激重编程机制为后续研究提供了更广的生物学背景[49]。</w:t>
      </w:r>
    </w:p>
    <w:p>
      <w:pPr>
        <w:spacing w:after="120" w:line="300" w:lineRule="auto"/>
        <w:ind w:firstLine="440"/>
        <w:jc w:val="both"/>
      </w:pPr>
      <w:r>
        <w:rPr>
          <w:rFonts w:ascii="Times New Roman" w:hAnsi="Times New Roman" w:eastAsia="宋体" w:cs="Times New Roman"/>
          <w:b w:val="0"/>
          <w:sz w:val="22"/>
        </w:rPr>
        <w:t>与已有“表格数据→图像”的表示方法相比，DeepInsight 通过 t-SNE 把特征点布局为二维图像以利用 CNN 的局部感受野，DeepInsight-3D 进一步将其推广到多组学三维表示，Yan 等则基于转录组特征图进行癌型与生存预测[32-34]；SurvConvMixer 利用通路级基因表达图像进行癌症生存预测[50]，MoACNN-XGNet 则构建面向乳腺癌亚型的可解释多组学卷积网络[51]。本研究与这些工作的关键区别在于：其一，本研究使用监督式 JSD 而非无监督降维来指导空间布局，并把基因功能类别与模型注意力对齐到同一像素坐标系，从而将空间位置直接绑定到可解释的生物学注释；其二，本文的 Dense 等价与随机排列对照表明，在本数据规模下二维空间布局本身并不带来预测增益，因此图像化被定位为可解释表示而非性能提升手段。这一结论与 DeepInsight 系列“图像化有助于 CNN 建模”的动机形成互补而非冲突——在更大样本或真实空间先验（如通路网络）可用时，空间结构才更可能产生增益。</w:t>
      </w:r>
    </w:p>
    <w:p>
      <w:pPr>
        <w:spacing w:after="120" w:line="300" w:lineRule="auto"/>
        <w:ind w:firstLine="440"/>
        <w:jc w:val="both"/>
      </w:pPr>
      <w:r>
        <w:rPr>
          <w:rFonts w:ascii="Times New Roman" w:hAnsi="Times New Roman" w:eastAsia="宋体" w:cs="Times New Roman"/>
          <w:b w:val="0"/>
          <w:sz w:val="22"/>
        </w:rPr>
        <w:t>功能类别遮盖实验表明，Other 类在 mRNA、CNV 和 miRNA 中均表现出最大的性能下降，但其特征数量通常最多；等量随机遮盖对照未显示功能模块遮盖稳定优于随机遮盖。因此，Other 类的较大下降更可能是高维未注释特征集中携带判别信号，同时叠加了模块大小效应，而不是单纯由某一已知功能类别驱动。CNV 和 miRNA 的功能类别为规则化注释，尤其 CNV 部分类别特征数较少，相关结果应作为方向性证据。</w:t>
      </w:r>
    </w:p>
    <w:p>
      <w:pPr>
        <w:spacing w:after="120" w:line="300" w:lineRule="auto"/>
        <w:ind w:firstLine="440"/>
        <w:jc w:val="both"/>
      </w:pPr>
      <w:r>
        <w:rPr>
          <w:rFonts w:ascii="Times New Roman" w:hAnsi="Times New Roman" w:eastAsia="宋体" w:cs="Times New Roman"/>
          <w:b w:val="0"/>
          <w:sz w:val="22"/>
        </w:rPr>
        <w:t>局限包括：主要发现基于 TCGA-BRCA 单一回顾性队列；虽然已在 METABRIC 独立队列中进行 mRNA/CNV 单组学外部验证，但尚缺少同时包含 mRNA、CNV 和 miRNA 的完整多组学外部队列。生存事件数量较少，类别不平衡；螺旋位置仍然不是真实生物学空间；复杂模型可能过拟合。统计推断方面，配对检验仅基于 5 折（n=5）的折级分数，统计功效有限，且未进行多重比较校正，因此 non-significant numerical differences（如生存 ROC AUC 的配对 t 检验 p=0.093）不应被解释为“两者无差异”；后续应采用 repeated CV、bootstrap 置信区间或折级效应量（如 Cohen's d）来增强证据强度。此外，主分析的特征数量选择与最终评估共用同一交叉验证，存在选择偏倚；虽然已对 mRNA PAM50 任务进行了 nested repeated-CV 敏感性分析，但主要多组学融合分析尚未在 nested CV 下全面重新评估，独立外部验证仍然必要。</w:t>
      </w:r>
    </w:p>
    <w:p>
      <w:pPr>
        <w:spacing w:after="120" w:line="300" w:lineRule="auto"/>
        <w:ind w:firstLine="440"/>
        <w:jc w:val="both"/>
      </w:pPr>
      <w:r>
        <w:rPr>
          <w:rFonts w:ascii="Times New Roman" w:hAnsi="Times New Roman" w:eastAsia="宋体" w:cs="Times New Roman"/>
          <w:b w:val="0"/>
          <w:sz w:val="22"/>
        </w:rPr>
        <w:t>与已有研究相比，本工作的贡献不在于简单追求最高分类准确率，而在于提供一种可追溯、可映射到关键基因的组学图像化表示。该表示既保留原始特征值，又通过 JSD 将判别重要性显式编码到图像空间，为后续关键因子挖掘和临床转化提供了统一接口。</w:t>
      </w:r>
    </w:p>
    <w:p>
      <w:pPr>
        <w:pStyle w:val="Heading1"/>
        <w:spacing w:before="320" w:after="140"/>
        <w:jc w:val="left"/>
      </w:pPr>
      <w:r>
        <w:rPr>
          <w:rFonts w:ascii="Times New Roman" w:hAnsi="Times New Roman" w:eastAsia="微软雅黑" w:cs="Times New Roman"/>
          <w:b/>
          <w:color w:val="2E74B5"/>
          <w:sz w:val="32"/>
        </w:rPr>
        <w:t>5. 结论</w:t>
      </w:r>
    </w:p>
    <w:p>
      <w:pPr>
        <w:spacing w:after="120" w:line="300" w:lineRule="auto"/>
        <w:ind w:firstLine="440"/>
        <w:jc w:val="both"/>
      </w:pPr>
      <w:r>
        <w:rPr>
          <w:rFonts w:ascii="Times New Roman" w:hAnsi="Times New Roman" w:eastAsia="宋体" w:cs="Times New Roman"/>
          <w:b w:val="0"/>
          <w:sz w:val="22"/>
        </w:rPr>
        <w:t>本研究建立了 JSD 引导的组学图像化与多组学融合框架，能够同时支持乳腺癌 PAM50 亚型重建和生存风险排序评估。mRNA 单组学在亚型重建中表现最优，且其判别信息并非主要依赖经典 PAM50 基因面板；多组学融合在生存风险建模中表现出数值提升但未达到统计显著，提示存在需要独立验证的潜在互补信息。FullSizeCNN 为组学图像化提供了轻量、可解释的基线。未来可在外部数据和更稳健融合策略下进一步验证。</w:t>
      </w:r>
    </w:p>
    <w:p>
      <w:pPr>
        <w:pStyle w:val="Heading1"/>
        <w:spacing w:before="320" w:after="140"/>
        <w:jc w:val="left"/>
      </w:pPr>
      <w:r>
        <w:rPr>
          <w:rFonts w:ascii="Times New Roman" w:hAnsi="Times New Roman" w:eastAsia="微软雅黑" w:cs="Times New Roman"/>
          <w:b/>
          <w:color w:val="2E74B5"/>
          <w:sz w:val="32"/>
        </w:rPr>
        <w:t>参考文献与数据来源</w:t>
      </w:r>
    </w:p>
    <w:p>
      <w:pPr>
        <w:spacing w:after="120" w:line="300" w:lineRule="auto"/>
        <w:jc w:val="both"/>
      </w:pPr>
      <w:r>
        <w:rPr>
          <w:rFonts w:ascii="Times New Roman" w:hAnsi="Times New Roman" w:eastAsia="宋体" w:cs="Times New Roman"/>
          <w:b w:val="0"/>
          <w:sz w:val="22"/>
        </w:rPr>
        <w:t>[1] Perou CM, Sørlie T, Eisen MB, van de Rijn M, Jeffrey SS, Rees CA, et al. Molecular portraits of human breast tumours. Nature. 2000;406(6797):747-752. doi:10.1038/35021093. PMID:10963602.</w:t>
      </w:r>
    </w:p>
    <w:p>
      <w:pPr>
        <w:spacing w:after="120" w:line="300" w:lineRule="auto"/>
        <w:jc w:val="both"/>
      </w:pPr>
      <w:r>
        <w:rPr>
          <w:rFonts w:ascii="Times New Roman" w:hAnsi="Times New Roman" w:eastAsia="宋体" w:cs="Times New Roman"/>
          <w:b w:val="0"/>
          <w:sz w:val="22"/>
        </w:rPr>
        <w:t>[2] Sørlie T, Perou CM, Tibshirani R, Aas T, Geisler S, Johnsen H, et al. Gene expression patterns of breast carcinomas distinguish tumor subclasses with clinical implications. Proc Natl Acad Sci U S A. 2001;98(19):10869-10874. doi:10.1073/pnas.191367098. PMID:11553815.</w:t>
      </w:r>
    </w:p>
    <w:p>
      <w:pPr>
        <w:spacing w:after="120" w:line="300" w:lineRule="auto"/>
        <w:jc w:val="both"/>
      </w:pPr>
      <w:r>
        <w:rPr>
          <w:rFonts w:ascii="Times New Roman" w:hAnsi="Times New Roman" w:eastAsia="宋体" w:cs="Times New Roman"/>
          <w:b w:val="0"/>
          <w:sz w:val="22"/>
        </w:rPr>
        <w:t>[3] Parker JS, Mullins M, Cheang MCU, Leung S, Voduc D, Vickery T, et al. Supervised risk predictor of breast cancer based on intrinsic subtypes. J Clin Oncol. 2009;27(8):1160-1167. doi:10.1200/JCO.2008.18.1370. PMID:19204204.</w:t>
      </w:r>
    </w:p>
    <w:p>
      <w:pPr>
        <w:spacing w:after="120" w:line="300" w:lineRule="auto"/>
        <w:jc w:val="both"/>
      </w:pPr>
      <w:r>
        <w:rPr>
          <w:rFonts w:ascii="Times New Roman" w:hAnsi="Times New Roman" w:eastAsia="宋体" w:cs="Times New Roman"/>
          <w:b w:val="0"/>
          <w:sz w:val="22"/>
        </w:rPr>
        <w:t>[4] Cancer Genome Atlas Network. Comprehensive molecular portraits of human breast tumours. Nature. 2012;490(7418):61-70. doi:10.1038/nature11412. PMID:23000897.</w:t>
      </w:r>
    </w:p>
    <w:p>
      <w:pPr>
        <w:spacing w:after="120" w:line="300" w:lineRule="auto"/>
        <w:jc w:val="both"/>
      </w:pPr>
      <w:r>
        <w:rPr>
          <w:rFonts w:ascii="Times New Roman" w:hAnsi="Times New Roman" w:eastAsia="宋体" w:cs="Times New Roman"/>
          <w:b w:val="0"/>
          <w:sz w:val="22"/>
        </w:rPr>
        <w:t>[5] Curtis C, Shah SP, Chin SF, Turashvili G, Rueda OM, Dunning MJ, et al. The genomic and transcriptomic architecture of 2,000 breast tumours reveals novel subgroups. Nature. 2012;486(7403):346-352. doi:10.1038/nature10983. PMID:22522925.</w:t>
      </w:r>
    </w:p>
    <w:p>
      <w:pPr>
        <w:spacing w:after="120" w:line="300" w:lineRule="auto"/>
        <w:jc w:val="both"/>
      </w:pPr>
      <w:r>
        <w:rPr>
          <w:rFonts w:ascii="Times New Roman" w:hAnsi="Times New Roman" w:eastAsia="宋体" w:cs="Times New Roman"/>
          <w:b w:val="0"/>
          <w:sz w:val="22"/>
        </w:rPr>
        <w:t>[6] Lehmann BD, Bauer JA, Chen X, Sanders ME, Chakravarthy AB, Shyr Y, et al. Identification of human triple-negative breast cancer subtypes and preclinical models for selection of targeted therapies. J Clin Invest. 2011;121(7):2750-2767. doi:10.1172/JCI45014. PMID:21633166.</w:t>
      </w:r>
    </w:p>
    <w:p>
      <w:pPr>
        <w:spacing w:after="120" w:line="300" w:lineRule="auto"/>
        <w:jc w:val="both"/>
      </w:pPr>
      <w:r>
        <w:rPr>
          <w:rFonts w:ascii="Times New Roman" w:hAnsi="Times New Roman" w:eastAsia="宋体" w:cs="Times New Roman"/>
          <w:b w:val="0"/>
          <w:sz w:val="22"/>
        </w:rPr>
        <w:t>[7] Ciriello G, Gatza ML, Beck AH, Wilkerson MD, Rhie SK, Pastore A, et al. Comprehensive molecular portraits of invasive lobular breast cancer. Cell. 2015;163(2):506-519. doi:10.1016/j.cell.2015.09.033. PMID:26451490.</w:t>
      </w:r>
    </w:p>
    <w:p>
      <w:pPr>
        <w:spacing w:after="120" w:line="300" w:lineRule="auto"/>
        <w:jc w:val="both"/>
      </w:pPr>
      <w:r>
        <w:rPr>
          <w:rFonts w:ascii="Times New Roman" w:hAnsi="Times New Roman" w:eastAsia="宋体" w:cs="Times New Roman"/>
          <w:b w:val="0"/>
          <w:sz w:val="22"/>
        </w:rPr>
        <w:t>[8] Cancer Genome Atlas Research Network, Weinstein JN, Collisson EA, Mills GB, Shaw KRM, Ozenberger BA, et al. The Cancer Genome Atlas Pan-Cancer analysis project. Nat Genet. 2013;45(10):1113-1120. doi:10.1038/ng.2764. PMID:24071849.</w:t>
      </w:r>
    </w:p>
    <w:p>
      <w:pPr>
        <w:spacing w:after="120" w:line="300" w:lineRule="auto"/>
        <w:jc w:val="both"/>
      </w:pPr>
      <w:r>
        <w:rPr>
          <w:rFonts w:ascii="Times New Roman" w:hAnsi="Times New Roman" w:eastAsia="宋体" w:cs="Times New Roman"/>
          <w:b w:val="0"/>
          <w:sz w:val="22"/>
        </w:rPr>
        <w:t>[9] Hoadley KA, Yau C, Wolf DM, Cherniack AD, Tamborero D, Ng S, et al. Multiplatform analysis of 12 cancer types reveals molecular classification within and across tissues of origin. Cell. 2014;158(4):929-944. doi:10.1016/j.cell.2014.06.049. PMID:25109877.</w:t>
      </w:r>
    </w:p>
    <w:p>
      <w:pPr>
        <w:spacing w:after="120" w:line="300" w:lineRule="auto"/>
        <w:jc w:val="both"/>
      </w:pPr>
      <w:r>
        <w:rPr>
          <w:rFonts w:ascii="Times New Roman" w:hAnsi="Times New Roman" w:eastAsia="宋体" w:cs="Times New Roman"/>
          <w:b w:val="0"/>
          <w:sz w:val="22"/>
        </w:rPr>
        <w:t>[10] Subramanian I, Verma S, Kumar S, Jere A, Anamika K. Multi-omics data integration, interpretation, and its application. Bioinform Biol Insights. 2020;14:1177932219899051. doi:10.1177/1177932219899051. PMID:32076369.</w:t>
      </w:r>
    </w:p>
    <w:p>
      <w:pPr>
        <w:spacing w:after="120" w:line="300" w:lineRule="auto"/>
        <w:jc w:val="both"/>
      </w:pPr>
      <w:r>
        <w:rPr>
          <w:rFonts w:ascii="Times New Roman" w:hAnsi="Times New Roman" w:eastAsia="宋体" w:cs="Times New Roman"/>
          <w:b w:val="0"/>
          <w:sz w:val="22"/>
        </w:rPr>
        <w:t>[11] Cantini L, Zakeri P, Hernandez C, Naldi A, Thieffry D, Remy E, et al. Benchmarking joint multi-omics dimensionality reduction approaches for the study of cancer. Nat Commun. 2021;12(1):124. doi:10.1038/s41467-020-20430-7. PMID:33402734.</w:t>
      </w:r>
    </w:p>
    <w:p>
      <w:pPr>
        <w:spacing w:after="120" w:line="300" w:lineRule="auto"/>
        <w:jc w:val="both"/>
      </w:pPr>
      <w:r>
        <w:rPr>
          <w:rFonts w:ascii="Times New Roman" w:hAnsi="Times New Roman" w:eastAsia="宋体" w:cs="Times New Roman"/>
          <w:b w:val="0"/>
          <w:sz w:val="22"/>
        </w:rPr>
        <w:t>[12] Guyon I, Elisseeff A. An introduction to variable and feature selection. J Mach Learn Res. 2003;3:1157-1182.</w:t>
      </w:r>
    </w:p>
    <w:p>
      <w:pPr>
        <w:spacing w:after="120" w:line="300" w:lineRule="auto"/>
        <w:jc w:val="both"/>
      </w:pPr>
      <w:r>
        <w:rPr>
          <w:rFonts w:ascii="Times New Roman" w:hAnsi="Times New Roman" w:eastAsia="宋体" w:cs="Times New Roman"/>
          <w:b w:val="0"/>
          <w:sz w:val="22"/>
        </w:rPr>
        <w:t>[13] Tibshirani R. Regression shrinkage and selection via the lasso. J R Stat Soc Series B Stat Methodol. 1996;58(1):267-288. doi:10.1111/j.2517-6161.1996.tb02080.x.</w:t>
      </w:r>
    </w:p>
    <w:p>
      <w:pPr>
        <w:spacing w:after="120" w:line="300" w:lineRule="auto"/>
        <w:jc w:val="both"/>
      </w:pPr>
      <w:r>
        <w:rPr>
          <w:rFonts w:ascii="Times New Roman" w:hAnsi="Times New Roman" w:eastAsia="宋体" w:cs="Times New Roman"/>
          <w:b w:val="0"/>
          <w:sz w:val="22"/>
        </w:rPr>
        <w:t>[14] Zou H, Hastie T. Regularization and variable selection via the elastic net. J R Stat Soc Series B Stat Methodol. 2005;67(2):301-320. doi:10.1111/j.1467-9868.2005.00503.x.</w:t>
      </w:r>
    </w:p>
    <w:p>
      <w:pPr>
        <w:spacing w:after="120" w:line="300" w:lineRule="auto"/>
        <w:jc w:val="both"/>
      </w:pPr>
      <w:r>
        <w:rPr>
          <w:rFonts w:ascii="Times New Roman" w:hAnsi="Times New Roman" w:eastAsia="宋体" w:cs="Times New Roman"/>
          <w:b w:val="0"/>
          <w:sz w:val="22"/>
        </w:rPr>
        <w:t>[15] Peng H, Long F, Ding C. Feature selection based on mutual information: criteria of max-dependency, max-relevance, and min-redundancy. IEEE Trans Pattern Anal Mach Intell. 2005;27(8):1226-1238. doi:10.1109/TPAMI.2005.159. PMID:16119262.</w:t>
      </w:r>
    </w:p>
    <w:p>
      <w:pPr>
        <w:spacing w:after="120" w:line="300" w:lineRule="auto"/>
        <w:jc w:val="both"/>
      </w:pPr>
      <w:r>
        <w:rPr>
          <w:rFonts w:ascii="Times New Roman" w:hAnsi="Times New Roman" w:eastAsia="宋体" w:cs="Times New Roman"/>
          <w:b w:val="0"/>
          <w:sz w:val="22"/>
        </w:rPr>
        <w:t>[16] Battiti R. Using mutual information for selecting features in supervised neural net learning. IEEE Trans Neural Netw. 1994;5(4):537-550. doi:10.1109/72.298224. PMID:18267827.</w:t>
      </w:r>
    </w:p>
    <w:p>
      <w:pPr>
        <w:spacing w:after="120" w:line="300" w:lineRule="auto"/>
        <w:jc w:val="both"/>
      </w:pPr>
      <w:r>
        <w:rPr>
          <w:rFonts w:ascii="Times New Roman" w:hAnsi="Times New Roman" w:eastAsia="宋体" w:cs="Times New Roman"/>
          <w:b w:val="0"/>
          <w:sz w:val="22"/>
        </w:rPr>
        <w:t>[17] Kursa MB, Rudnicki WR. Feature selection with the Boruta package. J Stat Softw. 2010;36(11):1-13. doi:10.18637/jss.v036.i11.</w:t>
      </w:r>
    </w:p>
    <w:p>
      <w:pPr>
        <w:spacing w:after="120" w:line="300" w:lineRule="auto"/>
        <w:jc w:val="both"/>
      </w:pPr>
      <w:r>
        <w:rPr>
          <w:rFonts w:ascii="Times New Roman" w:hAnsi="Times New Roman" w:eastAsia="宋体" w:cs="Times New Roman"/>
          <w:b w:val="0"/>
          <w:sz w:val="22"/>
        </w:rPr>
        <w:t>[18] Breiman L. Random forests. Mach Learn. 2001;45(1):5-32. doi:10.1023/A:1010933404324.</w:t>
      </w:r>
    </w:p>
    <w:p>
      <w:pPr>
        <w:spacing w:after="120" w:line="300" w:lineRule="auto"/>
        <w:jc w:val="both"/>
      </w:pPr>
      <w:r>
        <w:rPr>
          <w:rFonts w:ascii="Times New Roman" w:hAnsi="Times New Roman" w:eastAsia="宋体" w:cs="Times New Roman"/>
          <w:b w:val="0"/>
          <w:sz w:val="22"/>
        </w:rPr>
        <w:t>[19] Cortes C, Vapnik V. Support-vector networks. Mach Learn. 1995;20(3):273-297. doi:10.1007/BF00994018.</w:t>
      </w:r>
    </w:p>
    <w:p>
      <w:pPr>
        <w:spacing w:after="120" w:line="300" w:lineRule="auto"/>
        <w:jc w:val="both"/>
      </w:pPr>
      <w:r>
        <w:rPr>
          <w:rFonts w:ascii="Times New Roman" w:hAnsi="Times New Roman" w:eastAsia="宋体" w:cs="Times New Roman"/>
          <w:b w:val="0"/>
          <w:sz w:val="22"/>
        </w:rPr>
        <w:t>[20] Friedman JH. Greedy function approximation: a gradient boosting machine. Ann Stat. 2001;29(5):1189-1232. doi:10.1214/aos/1013203451.</w:t>
      </w:r>
    </w:p>
    <w:p>
      <w:pPr>
        <w:spacing w:after="120" w:line="300" w:lineRule="auto"/>
        <w:jc w:val="both"/>
      </w:pPr>
      <w:r>
        <w:rPr>
          <w:rFonts w:ascii="Times New Roman" w:hAnsi="Times New Roman" w:eastAsia="宋体" w:cs="Times New Roman"/>
          <w:b w:val="0"/>
          <w:sz w:val="22"/>
        </w:rPr>
        <w:t>[21] Libbrecht MW, Noble WS. Machine learning applications in genetics and genomics. Nat Rev Genet. 2015;16(6):321-332. doi:10.1038/nrg3920. PMID:25948244.</w:t>
      </w:r>
    </w:p>
    <w:p>
      <w:pPr>
        <w:spacing w:after="120" w:line="300" w:lineRule="auto"/>
        <w:jc w:val="both"/>
      </w:pPr>
      <w:r>
        <w:rPr>
          <w:rFonts w:ascii="Times New Roman" w:hAnsi="Times New Roman" w:eastAsia="宋体" w:cs="Times New Roman"/>
          <w:b w:val="0"/>
          <w:sz w:val="22"/>
        </w:rPr>
        <w:t>[22] Ching T, Himmelstein DS, Beaulieu-Jones BK, Kalinin AA, Do BT, Way GP, et al. Opportunities and obstacles for deep learning in biology and medicine. J R Soc Interface. 2018;15(141):20170387. doi:10.1098/rsif.2017.0387. PMID:29618526.</w:t>
      </w:r>
    </w:p>
    <w:p>
      <w:pPr>
        <w:spacing w:after="120" w:line="300" w:lineRule="auto"/>
        <w:jc w:val="both"/>
      </w:pPr>
      <w:r>
        <w:rPr>
          <w:rFonts w:ascii="Times New Roman" w:hAnsi="Times New Roman" w:eastAsia="宋体" w:cs="Times New Roman"/>
          <w:b w:val="0"/>
          <w:sz w:val="22"/>
        </w:rPr>
        <w:t>[23] Zou J, Huss M, Abid A, Mohammadi P, Torkamani A, Telenti A. A primer on deep learning in genomics. Nat Genet. 2019;51(1):12-18. doi:10.1038/s41588-018-0295-5. PMID:30478442.</w:t>
      </w:r>
    </w:p>
    <w:p>
      <w:pPr>
        <w:spacing w:after="120" w:line="300" w:lineRule="auto"/>
        <w:jc w:val="both"/>
      </w:pPr>
      <w:r>
        <w:rPr>
          <w:rFonts w:ascii="Times New Roman" w:hAnsi="Times New Roman" w:eastAsia="宋体" w:cs="Times New Roman"/>
          <w:b w:val="0"/>
          <w:sz w:val="22"/>
        </w:rPr>
        <w:t>[24] Sui W, Wang J, Miao D, Jiang Y, Liu G, Yang S, et al. The Evolution of Modeling Approaches: From Statistical Models to Deep Learning for Locust and Grasshopper Forecasting. Insects. 2026;17(2):182. doi:10.3390/insects17020182.</w:t>
      </w:r>
    </w:p>
    <w:p>
      <w:pPr>
        <w:spacing w:after="120" w:line="300" w:lineRule="auto"/>
        <w:jc w:val="both"/>
      </w:pPr>
      <w:r>
        <w:rPr>
          <w:rFonts w:ascii="Times New Roman" w:hAnsi="Times New Roman" w:eastAsia="宋体" w:cs="Times New Roman"/>
          <w:b w:val="0"/>
          <w:sz w:val="22"/>
        </w:rPr>
        <w:t>[25] LeCun Y, Bottou L, Bengio Y, Haffner P. Gradient-based learning applied to document recognition. Proc IEEE. 1998;86(11):2278-2324. doi:10.1109/5.726791.</w:t>
      </w:r>
    </w:p>
    <w:p>
      <w:pPr>
        <w:spacing w:after="120" w:line="300" w:lineRule="auto"/>
        <w:jc w:val="both"/>
      </w:pPr>
      <w:r>
        <w:rPr>
          <w:rFonts w:ascii="Times New Roman" w:hAnsi="Times New Roman" w:eastAsia="宋体" w:cs="Times New Roman"/>
          <w:b w:val="0"/>
          <w:sz w:val="22"/>
        </w:rPr>
        <w:t>[26] Krizhevsky A, Sutskever I, Hinton GE. ImageNet classification with deep convolutional neural networks. In: Advances in Neural Information Processing Systems. 2012;25:1097-1105.</w:t>
      </w:r>
    </w:p>
    <w:p>
      <w:pPr>
        <w:spacing w:after="120" w:line="300" w:lineRule="auto"/>
        <w:jc w:val="both"/>
      </w:pPr>
      <w:r>
        <w:rPr>
          <w:rFonts w:ascii="Times New Roman" w:hAnsi="Times New Roman" w:eastAsia="宋体" w:cs="Times New Roman"/>
          <w:b w:val="0"/>
          <w:sz w:val="22"/>
        </w:rPr>
        <w:t>[27] He K, Zhang X, Ren S, Sun J. Deep residual learning for image recognition. In: Proceedings of the IEEE Conference on Computer Vision and Pattern Recognition. 2016:770-778. doi:10.1109/CVPR.2016.90.</w:t>
      </w:r>
    </w:p>
    <w:p>
      <w:pPr>
        <w:spacing w:after="120" w:line="300" w:lineRule="auto"/>
        <w:jc w:val="both"/>
      </w:pPr>
      <w:r>
        <w:rPr>
          <w:rFonts w:ascii="Times New Roman" w:hAnsi="Times New Roman" w:eastAsia="宋体" w:cs="Times New Roman"/>
          <w:b w:val="0"/>
          <w:sz w:val="22"/>
        </w:rPr>
        <w:t>[28] Hu J, Shen L, Sun G. Squeeze-and-excitation networks. In: Proceedings of the IEEE Conference on Computer Vision and Pattern Recognition. 2018:7132-7141. doi:10.1109/CVPR.2018.00745.</w:t>
      </w:r>
    </w:p>
    <w:p>
      <w:pPr>
        <w:spacing w:after="120" w:line="300" w:lineRule="auto"/>
        <w:jc w:val="both"/>
      </w:pPr>
      <w:r>
        <w:rPr>
          <w:rFonts w:ascii="Times New Roman" w:hAnsi="Times New Roman" w:eastAsia="宋体" w:cs="Times New Roman"/>
          <w:b w:val="0"/>
          <w:sz w:val="22"/>
        </w:rPr>
        <w:t>[29] Ronneberger O, Fischer P, Brox T. U-Net: convolutional networks for biomedical image segmentation. In: Medical Image Computing and Computer-Assisted Intervention - MICCAI 2015. 2015:234-241. doi:10.1007/978-3-319-24574-4_28.</w:t>
      </w:r>
    </w:p>
    <w:p>
      <w:pPr>
        <w:spacing w:after="120" w:line="300" w:lineRule="auto"/>
        <w:jc w:val="both"/>
      </w:pPr>
      <w:r>
        <w:rPr>
          <w:rFonts w:ascii="Times New Roman" w:hAnsi="Times New Roman" w:eastAsia="宋体" w:cs="Times New Roman"/>
          <w:b w:val="0"/>
          <w:sz w:val="22"/>
        </w:rPr>
        <w:t>[30] Vaswani A, Shazeer N, Parmar N, Uszkoreit J, Jones L, Gomez AN, et al. Attention is all you need. In: Advances in Neural Information Processing Systems. 2017;30:5998-6008. arXiv:1706.03762.</w:t>
      </w:r>
    </w:p>
    <w:p>
      <w:pPr>
        <w:spacing w:after="120" w:line="300" w:lineRule="auto"/>
        <w:jc w:val="both"/>
      </w:pPr>
      <w:r>
        <w:rPr>
          <w:rFonts w:ascii="Times New Roman" w:hAnsi="Times New Roman" w:eastAsia="宋体" w:cs="Times New Roman"/>
          <w:b w:val="0"/>
          <w:sz w:val="22"/>
        </w:rPr>
        <w:t>[31] Shi F, Wang M, Teng Z, Cai L, Liu G, Xing Y, et al. HDGS-Net: nucleosome occupancy prediction based on a hybrid dilated gated separable convolutional neural network. BMC Genomics. 2026;27(1):209. doi:10.1186/s12864-026-12523-2.</w:t>
      </w:r>
    </w:p>
    <w:p>
      <w:pPr>
        <w:spacing w:after="120" w:line="300" w:lineRule="auto"/>
        <w:jc w:val="both"/>
      </w:pPr>
      <w:r>
        <w:rPr>
          <w:rFonts w:ascii="Times New Roman" w:hAnsi="Times New Roman" w:eastAsia="宋体" w:cs="Times New Roman"/>
          <w:b w:val="0"/>
          <w:sz w:val="22"/>
        </w:rPr>
        <w:t>[32] Sharma A, Vans E, Shigemizu D, Boroevich KA, Tsunoda T. DeepInsight: a methodology to transform a non-image data to an image for convolution neural network architecture. Sci Rep. 2019;9(1):11399. doi:10.1038/s41598-019-47765-6. PMID:31388036.</w:t>
      </w:r>
    </w:p>
    <w:p>
      <w:pPr>
        <w:spacing w:after="120" w:line="300" w:lineRule="auto"/>
        <w:jc w:val="both"/>
      </w:pPr>
      <w:r>
        <w:rPr>
          <w:rFonts w:ascii="Times New Roman" w:hAnsi="Times New Roman" w:eastAsia="宋体" w:cs="Times New Roman"/>
          <w:b w:val="0"/>
          <w:sz w:val="22"/>
        </w:rPr>
        <w:t>[33] Sharma A, Lysenko A, Boroevich KA, Tsunoda T. DeepInsight-3D architecture for anti-cancer drug response prediction with deep-learning on multi-omics. Sci Rep. 2023;13(1):2483. doi:10.1038/s41598-023-29644-3. PMID:36774402.</w:t>
      </w:r>
    </w:p>
    <w:p>
      <w:pPr>
        <w:spacing w:after="120" w:line="300" w:lineRule="auto"/>
        <w:jc w:val="both"/>
      </w:pPr>
      <w:r>
        <w:rPr>
          <w:rFonts w:ascii="Times New Roman" w:hAnsi="Times New Roman" w:eastAsia="宋体" w:cs="Times New Roman"/>
          <w:b w:val="0"/>
          <w:sz w:val="22"/>
        </w:rPr>
        <w:t>[34] Yan M, Dong Z, Zhu Z, Qiao C, Wang M, Teng Z, et al. Cancer type and survival prediction based on transcriptomic feature map. Comput Biol Med. 2025;192:110267. doi:10.1016/j.compbiomed.2025.110267. PMID:40311464.</w:t>
      </w:r>
    </w:p>
    <w:p>
      <w:pPr>
        <w:spacing w:after="120" w:line="300" w:lineRule="auto"/>
        <w:jc w:val="both"/>
      </w:pPr>
      <w:r>
        <w:rPr>
          <w:rFonts w:ascii="Times New Roman" w:hAnsi="Times New Roman" w:eastAsia="宋体" w:cs="Times New Roman"/>
          <w:b w:val="0"/>
          <w:sz w:val="22"/>
        </w:rPr>
        <w:t>[35] Cox DR. Regression models and life-tables. J R Stat Soc Series B Stat Methodol. 1972;34(2):187-202. doi:10.1111/j.2517-6161.1972.tb00899.x.</w:t>
      </w:r>
    </w:p>
    <w:p>
      <w:pPr>
        <w:spacing w:after="120" w:line="300" w:lineRule="auto"/>
        <w:jc w:val="both"/>
      </w:pPr>
      <w:r>
        <w:rPr>
          <w:rFonts w:ascii="Times New Roman" w:hAnsi="Times New Roman" w:eastAsia="宋体" w:cs="Times New Roman"/>
          <w:b w:val="0"/>
          <w:sz w:val="22"/>
        </w:rPr>
        <w:t>[36] Harrell FE Jr, Lee KL, Califf RM, Pryor DB, Rosati RA. Evaluating the yield of medical tests. JAMA. 1982;247(18):2543-2546. doi:10.1001/jama.1982.03320430047030. PMID:7069920.</w:t>
      </w:r>
    </w:p>
    <w:p>
      <w:pPr>
        <w:spacing w:after="120" w:line="300" w:lineRule="auto"/>
        <w:jc w:val="both"/>
      </w:pPr>
      <w:r>
        <w:rPr>
          <w:rFonts w:ascii="Times New Roman" w:hAnsi="Times New Roman" w:eastAsia="宋体" w:cs="Times New Roman"/>
          <w:b w:val="0"/>
          <w:sz w:val="22"/>
        </w:rPr>
        <w:t>[37] Uno H, Cai T, Pencina MJ, D'Agostino RB, Wei LJ. On the C-statistics for evaluating overall adequacy of risk prediction procedures with censored survival data. Stat Med. 2011;30(10):1105-1117. doi:10.1002/sim.4154. PMID:21484848.</w:t>
      </w:r>
    </w:p>
    <w:p>
      <w:pPr>
        <w:spacing w:after="120" w:line="300" w:lineRule="auto"/>
        <w:jc w:val="both"/>
      </w:pPr>
      <w:r>
        <w:rPr>
          <w:rFonts w:ascii="Times New Roman" w:hAnsi="Times New Roman" w:eastAsia="宋体" w:cs="Times New Roman"/>
          <w:b w:val="0"/>
          <w:sz w:val="22"/>
        </w:rPr>
        <w:t>[38] Ishwaran H, Kogalur UB, Blackstone EH, Lauer MS. Random survival forests. Ann Appl Stat. 2008;2(3):841-860. doi:10.1214/08-AOAS169.</w:t>
      </w:r>
    </w:p>
    <w:p>
      <w:pPr>
        <w:spacing w:after="120" w:line="300" w:lineRule="auto"/>
        <w:jc w:val="both"/>
      </w:pPr>
      <w:r>
        <w:rPr>
          <w:rFonts w:ascii="Times New Roman" w:hAnsi="Times New Roman" w:eastAsia="宋体" w:cs="Times New Roman"/>
          <w:b w:val="0"/>
          <w:sz w:val="22"/>
        </w:rPr>
        <w:t>[39] Katzman JL, Shaham U, Cloninger A, Bates J, Jiang T, Kluger Y. DeepSurv: personalized treatment recommender system using a Cox proportional hazards deep neural network. BMC Med Res Methodol. 2018;18(1):24. doi:10.1186/s12874-018-0482-1. PMID:29482517.</w:t>
      </w:r>
    </w:p>
    <w:p>
      <w:pPr>
        <w:spacing w:after="120" w:line="300" w:lineRule="auto"/>
        <w:jc w:val="both"/>
      </w:pPr>
      <w:r>
        <w:rPr>
          <w:rFonts w:ascii="Times New Roman" w:hAnsi="Times New Roman" w:eastAsia="宋体" w:cs="Times New Roman"/>
          <w:b w:val="0"/>
          <w:sz w:val="22"/>
        </w:rPr>
        <w:t>[40] Mitchel J, Chatlin K, Tong L, Wang MD. A translational pipeline for overall survival prediction of breast cancer patients by decision-level integration of multi-omics data. In: Proceedings IEEE International Conference on Bioinformatics and Biomedicine. 2019:1573-1580. doi:10.1109/BIBM47256.2019.8983243. PMID:32601549.</w:t>
      </w:r>
    </w:p>
    <w:p>
      <w:pPr>
        <w:spacing w:after="120" w:line="300" w:lineRule="auto"/>
        <w:jc w:val="both"/>
      </w:pPr>
      <w:r>
        <w:rPr>
          <w:rFonts w:ascii="Times New Roman" w:hAnsi="Times New Roman" w:eastAsia="宋体" w:cs="Times New Roman"/>
          <w:b w:val="0"/>
          <w:sz w:val="22"/>
        </w:rPr>
        <w:t>[41] Goodfellow I, Pouget-Abadie J, Mirza M, Xu B, Warde-Farley D, Ozair S, et al. Generative adversarial nets. In: Advances in Neural Information Processing Systems. 2014;27:2672-2680. arXiv:1406.2661.</w:t>
      </w:r>
    </w:p>
    <w:p>
      <w:pPr>
        <w:spacing w:after="120" w:line="300" w:lineRule="auto"/>
        <w:jc w:val="both"/>
      </w:pPr>
      <w:r>
        <w:rPr>
          <w:rFonts w:ascii="Times New Roman" w:hAnsi="Times New Roman" w:eastAsia="宋体" w:cs="Times New Roman"/>
          <w:b w:val="0"/>
          <w:sz w:val="22"/>
        </w:rPr>
        <w:t>[42] Arjovsky M, Chintala S, Bottou L. Wasserstein generative adversarial networks. In: Proceedings of the 34th International Conference on Machine Learning. PMLR. 2017;70:214-223.</w:t>
      </w:r>
    </w:p>
    <w:p>
      <w:pPr>
        <w:spacing w:after="120" w:line="300" w:lineRule="auto"/>
        <w:jc w:val="both"/>
      </w:pPr>
      <w:r>
        <w:rPr>
          <w:rFonts w:ascii="Times New Roman" w:hAnsi="Times New Roman" w:eastAsia="宋体" w:cs="Times New Roman"/>
          <w:b w:val="0"/>
          <w:sz w:val="22"/>
        </w:rPr>
        <w:t>[43] Gulrajani I, Ahmed F, Arjovsky M, Dumoulin V, Courville A. Improved training of Wasserstein GANs. In: Advances in Neural Information Processing Systems. 2017:5767-5777. arXiv:1704.00028.</w:t>
      </w:r>
    </w:p>
    <w:p>
      <w:pPr>
        <w:spacing w:after="120" w:line="300" w:lineRule="auto"/>
        <w:jc w:val="both"/>
      </w:pPr>
      <w:r>
        <w:rPr>
          <w:rFonts w:ascii="Times New Roman" w:hAnsi="Times New Roman" w:eastAsia="宋体" w:cs="Times New Roman"/>
          <w:b w:val="0"/>
          <w:sz w:val="22"/>
        </w:rPr>
        <w:t>[44] Lin J. Divergence measures based on the Shannon entropy. IEEE Trans Inf Theory. 1991;37(1):145-151. doi:10.1109/18.61115.</w:t>
      </w:r>
    </w:p>
    <w:p>
      <w:pPr>
        <w:spacing w:after="120" w:line="300" w:lineRule="auto"/>
        <w:jc w:val="both"/>
      </w:pPr>
      <w:r>
        <w:rPr>
          <w:rFonts w:ascii="Times New Roman" w:hAnsi="Times New Roman" w:eastAsia="宋体" w:cs="Times New Roman"/>
          <w:b w:val="0"/>
          <w:sz w:val="22"/>
        </w:rPr>
        <w:t>[45] Simonyan K, Vedaldi A, Zisserman A. Deep inside convolutional networks: visualising image classification models and saliency maps. arXiv:1312.6034. 2014.</w:t>
      </w:r>
    </w:p>
    <w:p>
      <w:pPr>
        <w:spacing w:after="120" w:line="300" w:lineRule="auto"/>
        <w:jc w:val="both"/>
      </w:pPr>
      <w:r>
        <w:rPr>
          <w:rFonts w:ascii="Times New Roman" w:hAnsi="Times New Roman" w:eastAsia="宋体" w:cs="Times New Roman"/>
          <w:b w:val="0"/>
          <w:sz w:val="22"/>
        </w:rPr>
        <w:t>[46] Selvaraju RR, Cogswell M, Das A, Vedantam R, Parikh D, Batra D. Grad-CAM: visual explanations from deep networks via gradient-based localization. In: Proceedings of the IEEE International Conference on Computer Vision. 2017:618-626. doi:10.1109/ICCV.2017.74.</w:t>
      </w:r>
    </w:p>
    <w:p>
      <w:pPr>
        <w:spacing w:after="120" w:line="300" w:lineRule="auto"/>
        <w:jc w:val="both"/>
      </w:pPr>
      <w:r>
        <w:rPr>
          <w:rFonts w:ascii="Times New Roman" w:hAnsi="Times New Roman" w:eastAsia="宋体" w:cs="Times New Roman"/>
          <w:b w:val="0"/>
          <w:sz w:val="22"/>
        </w:rPr>
        <w:t>[47] Ribeiro MT, Singh S, Guestrin C. "Why should I trust you?": explaining the predictions of any classifier. In: Proceedings of the 22nd ACM SIGKDD International Conference on Knowledge Discovery and Data Mining. 2016:1135-1144. doi:10.1145/2939672.2939778.</w:t>
      </w:r>
    </w:p>
    <w:p>
      <w:pPr>
        <w:spacing w:after="120" w:line="300" w:lineRule="auto"/>
        <w:jc w:val="both"/>
      </w:pPr>
      <w:r>
        <w:rPr>
          <w:rFonts w:ascii="Times New Roman" w:hAnsi="Times New Roman" w:eastAsia="宋体" w:cs="Times New Roman"/>
          <w:b w:val="0"/>
          <w:sz w:val="22"/>
        </w:rPr>
        <w:t>[48] Lundberg SM, Lee SI. A unified approach to interpreting model predictions. In: Advances in Neural Information Processing Systems. 2017;30:4765-4774. arXiv:1705.07874.</w:t>
      </w:r>
    </w:p>
    <w:p>
      <w:pPr>
        <w:spacing w:after="120" w:line="300" w:lineRule="auto"/>
        <w:jc w:val="both"/>
      </w:pPr>
      <w:r>
        <w:rPr>
          <w:rFonts w:ascii="Times New Roman" w:hAnsi="Times New Roman" w:eastAsia="宋体" w:cs="Times New Roman"/>
          <w:b w:val="0"/>
          <w:sz w:val="22"/>
        </w:rPr>
        <w:t>[49] Chen S, Navickas A, Goodarzi H. Translational adaptation in breast cancer metastasis and emerging therapeutic opportunities. Trends Pharmacol Sci. 2024;45(4):304-318. doi:10.1016/j.tips.2024.02.002.</w:t>
      </w:r>
    </w:p>
    <w:p>
      <w:pPr>
        <w:spacing w:after="120" w:line="300" w:lineRule="auto"/>
        <w:jc w:val="both"/>
      </w:pPr>
      <w:r>
        <w:rPr>
          <w:rFonts w:ascii="Times New Roman" w:hAnsi="Times New Roman" w:eastAsia="宋体" w:cs="Times New Roman"/>
          <w:b w:val="0"/>
          <w:sz w:val="22"/>
        </w:rPr>
        <w:t>[50] Wang S, Liu Y, Zhang H, Liu Z. SurvConvMixer: robust and interpretable cancer survival prediction based on ConvMixer using pathway-level gene expression images. BMC Bioinformatics. 2024;25(1):133. doi:10.1186/s12859-024-05745-2.</w:t>
      </w:r>
    </w:p>
    <w:p>
      <w:pPr>
        <w:spacing w:after="120" w:line="300" w:lineRule="auto"/>
        <w:jc w:val="both"/>
      </w:pPr>
      <w:r>
        <w:rPr>
          <w:rFonts w:ascii="Times New Roman" w:hAnsi="Times New Roman" w:eastAsia="宋体" w:cs="Times New Roman"/>
          <w:b w:val="0"/>
          <w:sz w:val="22"/>
        </w:rPr>
        <w:t>[51] Li Q, Liu L, Zhang Q, Zhang X, Li N, Zhao Y, et al. MoACNN-XGNet: interpretable multi-omics convolutional network for breast cancer subtyping and prognostic genes identification. IEEE J Biomed Health Inform. 2025. Early access. doi:10.1109/JBHI.2025.3595381.</w:t>
      </w:r>
    </w:p>
    <w:p>
      <w:pPr>
        <w:spacing w:after="120" w:line="300" w:lineRule="auto"/>
        <w:ind w:firstLine="440"/>
        <w:jc w:val="both"/>
      </w:pPr>
      <w:r>
        <w:rPr>
          <w:rFonts w:ascii="Times New Roman" w:hAnsi="Times New Roman" w:eastAsia="宋体" w:cs="Times New Roman"/>
          <w:b w:val="0"/>
          <w:sz w:val="22"/>
        </w:rPr>
        <w:t>Data availability statement：本研究使用的原始公开数据来自 The Cancer Genome Atlas（TCGA-BRCA），可通过 NCI Genomic Data Commons（GDC）数据门户获取（project TCGA-BRCA），并可经 UCSC Xena 平台访问（dataset: TCGA Breast Cancer (BRCA)）。</w:t>
      </w:r>
    </w:p>
    <w:p>
      <w:pPr>
        <w:spacing w:after="120" w:line="300" w:lineRule="auto"/>
        <w:ind w:firstLine="440"/>
        <w:jc w:val="both"/>
      </w:pPr>
      <w:r>
        <w:rPr>
          <w:rFonts w:ascii="Times New Roman" w:hAnsi="Times New Roman" w:eastAsia="宋体" w:cs="Times New Roman"/>
          <w:b w:val="0"/>
          <w:sz w:val="22"/>
        </w:rPr>
        <w:t>本研究的处理数据、特征选择与建模代码、JSD 图像、结果表、补充材料及可复现说明已整理为代码与数据仓库并公开托管于 GitHub（repository: Supervised_distribution_divergence_omics_imaging_breast_cancer），仓库链接见正文末尾的 Code availability 条目。</w:t>
      </w:r>
    </w:p>
    <w:p>
      <w:pPr>
        <w:spacing w:after="120" w:line="300" w:lineRule="auto"/>
        <w:ind w:firstLine="440"/>
        <w:jc w:val="both"/>
      </w:pPr>
      <w:r>
        <w:rPr>
          <w:rFonts w:ascii="Times New Roman" w:hAnsi="Times New Roman" w:eastAsia="宋体" w:cs="Times New Roman"/>
          <w:b w:val="0"/>
          <w:sz w:val="22"/>
        </w:rPr>
        <w:t>Code availability：https://github.com/381521602/Supervised_distribution_divergence_omics_imaging_breast_cancer</w:t>
      </w:r>
    </w:p>
    <w:p>
      <w:pPr>
        <w:spacing w:after="120" w:line="300" w:lineRule="auto"/>
        <w:ind w:firstLine="440"/>
        <w:jc w:val="both"/>
      </w:pPr>
      <w:r>
        <w:rPr>
          <w:rFonts w:ascii="Times New Roman" w:hAnsi="Times New Roman" w:eastAsia="宋体" w:cs="Times New Roman"/>
          <w:b w:val="0"/>
          <w:sz w:val="22"/>
        </w:rPr>
        <w:t>本文为中文初稿；正式投稿前将按目标期刊格式补充编号引用、作者单位、基金和利益冲突声明。</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555555"/>
        <w:sz w:val="16"/>
      </w:rPr>
      <w:t xml:space="preserve">Distribution-divergence-guided omics imaging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