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r>
        <w:rPr>
          <w:rFonts w:ascii="Times New Roman" w:hAnsi="Times New Roman" w:eastAsia="宋体" w:cs="Times New Roman"/>
          <w:b/>
          <w:color w:val="0B2545"/>
          <w:sz w:val="32"/>
        </w:rPr>
        <w:t>Supervised distribution-divergence-guided omics imaging for interpretable multi-omics integration in breast cancer subtyping and survival-risk stratification</w:t>
      </w:r>
    </w:p>
    <w:p>
      <w:pPr>
        <w:spacing w:after="160" w:line="240" w:lineRule="auto"/>
        <w:ind w:firstLine="0"/>
        <w:jc w:val="center"/>
      </w:pPr>
      <w:r/>
      <w:r>
        <w:rPr>
          <w:rFonts w:ascii="Times New Roman" w:hAnsi="Times New Roman" w:eastAsia="宋体" w:cs="Times New Roman"/>
          <w:color w:val="555555"/>
          <w:sz w:val="20"/>
        </w:rPr>
        <w:t>Original Research</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Background: Breast cancer is highly heterogeneous, and a single molecular layer cannot robustly capture PAM50 subtypes or overall-survival risk. Multi-omics integration is theoretically complementary, yet is limited by high feature dimensionality, small sample sizes, heterogeneous scales, and the absence of natural two-dimensional adjacency among molecular features. Methods: We propose a supervised, distribution-divergence-guided omics spatial representation that scores the discriminative importance of each feature with the Jensen-Shannon divergence (JSD), arranges features by center-outward spiral filling into a single-channel grayscale image, and processes the image with a full-size convolutional network (FullSizeCNN). The representation is benchmarked against classical machine-learning models, an MLP, censoring-aware survival models (CoxPH, CoxNet, random survival forest), and multiple multi-omics fusion strategies using TCGA-BRCA mRNA, CNV, and miRNA, with leak-free five-fold cross-validation (feature selection and JSD ordering inside each fold) and external single-omics validation on METABRIC. Results: mRNA was the dominant signal for PAM50 subtype reconstruction (FullSizeCNN accuracy 0.869, LogisticRegression 0.822; CNV MLP 0.600; miRNA Dense 0.799). Death-status classifiers showed weak-to-moderate survival discrimination (C-index 0.55-0.62), while censoring-aware models reached up to 0.656 (miRNA random survival forest). For PAM50, multi-omics fusion (CNN late-average accuracy 0.842) did not exceed the best intersection single-omics mRNA model (0.852); for survival, CNN late-average fusion reached ROC AUC 0.674. A dense-equivalent control indicated that the two-dimensional layout itself did not add predictive gain, and the principal value of imaging is interpretability. The pixel-to-gene coordinate system recovered ESR1, TFF1, AGR3, FOXC1, MIA, FABP7, CCL19, and MS4A1, enriched estrogen signaling, proliferation, and epithelial development, and connected ESR1/PGR with MYBL2/BIRC5/E2F8 through a consensus STRING network. Conclusions: The supervised divergence-guided representation provides a traceable, interpretable coordinate system that connects multi-omics models to key genes and pathways, positioning omics imaging as an interpretability interface rather than a predictive shortcut.</w:t>
      </w:r>
    </w:p>
    <w:p>
      <w:pPr>
        <w:spacing w:after="160" w:line="240" w:lineRule="auto" w:before="0"/>
        <w:ind w:firstLine="0"/>
        <w:jc w:val="left"/>
      </w:pPr>
      <w:r/>
      <w:r>
        <w:rPr>
          <w:rFonts w:ascii="Times New Roman" w:hAnsi="Times New Roman" w:eastAsia="宋体" w:cs="Times New Roman"/>
          <w:b/>
          <w:sz w:val="22"/>
        </w:rPr>
        <w:t>Keywords: breast cancer; multi-omics; omics imaging; Jensen-Shannon divergence; full-size convolution; PAM50; survival-risk stratification</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rPr>
          <w:rFonts w:ascii="Times New Roman" w:hAnsi="Times New Roman" w:eastAsia="宋体" w:cs="Times New Roman"/>
          <w:b w:val="0"/>
          <w:sz w:val="22"/>
        </w:rPr>
        <w:t>Breast cancer is among the most common malignancies in women. Its initiation, progression, and therapeutic response are governed by genetic, transcriptional, epigenetic, and microenvironmental layers, giving rise to marked molecular and clinical heterogeneity (Parker et al., 2009; Perou et al., 2000; Sørlie et al., 2001). Intrinsic molecular subtyping based on gene expression classifies breast cancer into Luminal A, Luminal B, Basal-like, HER2-enriched, and Normal-like subtypes, and the PAM50 gene set has become a standard tool for molecular subtyping and recurrence-risk estimation (Parker et al., 2009). Large-scale genomic studies have shown that the breast-cancer molecular landscape is shaped jointly by somatic mutations, copy-number variation (CNV), the transcriptome, and miRNAs (Cancer Genome Atlas Network, 2012; Curtis et al., 2012), and reproducible molecular subgroups exist even within triple-negative and invasive lobular carcinomas (Ciriello et al., 2015; Lehmann et al., 2011). Because overall survival (OS) directly reflects long-term outcome, simultaneously characterizing PAM50 subtypes and survival risk from multi-omics data has clear translational value.</w:t>
      </w:r>
    </w:p>
    <w:p>
      <w:pPr>
        <w:spacing w:after="120" w:line="240" w:lineRule="auto"/>
        <w:ind w:firstLine="0"/>
        <w:jc w:val="both"/>
      </w:pPr>
      <w:r>
        <w:rPr>
          <w:rFonts w:ascii="Times New Roman" w:hAnsi="Times New Roman" w:eastAsia="宋体" w:cs="Times New Roman"/>
          <w:b w:val="0"/>
          <w:sz w:val="22"/>
        </w:rPr>
        <w:t>The Cancer Genome Atlas (TCGA) and its Pan-Cancer Analysis Project provide large-scale, multi-platform, publicly available tumor molecular data, enabling systematic comparison of cross-omics patterns in breast and other cancers (Cancer Genome Atlas Network, 2012; Cancer Genome Atlas Research Network et al., 2013). Multi-platform analyses have shown that tissue of origin and molecular subtype jointly determine global molecular features, whereas a single omics often captures only part of the signal (Hoadley et al., 2014). Multi-omics integration is widely expected to fuse complementary information and has advanced cancer classification, prognostic modeling, and drug-response prediction (Cantini et al., 2021; Subramanian et al., 2020).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rPr>
          <w:rFonts w:ascii="Times New Roman" w:hAnsi="Times New Roman" w:eastAsia="宋体" w:cs="Times New Roman"/>
          <w:b w:val="0"/>
          <w:sz w:val="22"/>
        </w:rPr>
        <w:t>Feature selection is central to controlling overfitting, reducing computational cost, and improving biological interpretability in high-dimensional omics modeling (Guyon and Elisseeff, 2003). Common approaches include variance- or univariate-statistic-based filters, LASSO/elastic-net embedded sparsity, mutual-information-based minimal-redundancy maximal-relevance (mRMR), and Boruta-style random-forest importance wrappers (Battiti, 1994; Kursa and Rudnicki, 2010; Peng et al., 2005; Tibshirani, 1996; Zou and Hastie, 2005).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rPr>
          <w:rFonts w:ascii="Times New Roman" w:hAnsi="Times New Roman" w:eastAsia="宋体" w:cs="Times New Roman"/>
          <w:b w:val="0"/>
          <w:sz w:val="22"/>
        </w:rPr>
        <w:t>At the classical machine-learning level, logistic regression, support vector machines, random forests, gradient boosting, and k-nearest neighbors have been widely applied to genomic and clinical prediction (Breiman, 2001; Cortes and Vapnik, 1995; Friedman, 2001), and remain baselines because of their interpretability, computational efficiency, and robustness on tabular data (Ching et al., 2018; Libbrecht and Noble, 2015; Zou et al., 2019). These methods usually take gene-expression or copy-number vectors directly as input and therefore cannot exploit spatial or network adjacency among features. Analogously, the progression from statistical models to classical machine learning and deep learning in ecological forecasting shows that model selection must jointly respect data structure and task objectives under data scarcity and interpretability constraints (Sui et al., 2026).</w:t>
      </w:r>
    </w:p>
    <w:p>
      <w:pPr>
        <w:spacing w:after="120" w:line="240" w:lineRule="auto"/>
        <w:ind w:firstLine="0"/>
        <w:jc w:val="both"/>
      </w:pPr>
      <w:r>
        <w:rPr>
          <w:rFonts w:ascii="Times New Roman" w:hAnsi="Times New Roman" w:eastAsia="宋体" w:cs="Times New Roman"/>
          <w:b w:val="0"/>
          <w:sz w:val="22"/>
        </w:rPr>
        <w:t>Deep learning provides new representation-learning capacity for biomedical data analysis (Ching et al., 2018; Libbrecht and Noble, 2015; Zou et al., 2019). Convolutional neural networks (CNNs) extract local features effectively, and architectures from LeNet and AlexNet to ResNet and Squeeze-and-Excitation Networks have successively improved capacity and generalization (He et al., 2016; Hu et al., 2018; Krizhevsky et al., 2012; LeCun et al., 1998); U-Net-style encoder-decoders are widely used in biomedical imaging (Ronneberger et al., 2015). Transformer and attention mechanisms further extend sequence and set modeling to multimodal scenarios (Vaswani et al., 2017). For sequence-like biological data, hybrid dilated, gated, and depthwise-separable convolutions have been used for single-base-resolution nucleosome-occupancy prediction, showing that data-scale- and receptive-field-matched convolution modules improve sequence modeling (Shi et al., 2026). However, deep models are parameter-rich and data-hungry, and without a suitable input representation and strict leakage control they overfit on small-sample omics tasks.</w:t>
      </w:r>
    </w:p>
    <w:p>
      <w:pPr>
        <w:spacing w:after="120" w:line="240" w:lineRule="auto"/>
        <w:ind w:firstLine="0"/>
        <w:jc w:val="both"/>
      </w:pPr>
      <w:r>
        <w:rPr>
          <w:rFonts w:ascii="Times New Roman" w:hAnsi="Times New Roman" w:eastAsia="宋体" w:cs="Times New Roman"/>
          <w:b w:val="0"/>
          <w:sz w:val="22"/>
        </w:rPr>
        <w:t>Imaging tabular omics data is an important bridge between CNNs and high-dimensional molecular features. DeepInsight maps non-image data onto a two-dimensional canvas so that a CNN can process gene-expression tables (Sharma et al., 2019); DeepInsight-3D extends this idea to multi-omics drug-response prediction (Sharma et al., 2023). Recent work also uses transcriptomic feature maps for cancer-type and survival prediction (Yan et al., 2025).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rPr>
          <w:rFonts w:ascii="Times New Roman" w:hAnsi="Times New Roman" w:eastAsia="宋体" w:cs="Times New Roman"/>
          <w:b w:val="0"/>
          <w:sz w:val="22"/>
        </w:rPr>
        <w:t>Survival analysis is central to clinical prognostic modeling. The Cox proportional-hazards model provides a semiparametric risk framework (Cox, 1972), the C-index is a common measure of risk-ranking concordance (Harrell et al., 1982), and the Uno C-statistic further accounts for censoring and overall risk-prediction adequacy (Uno et al., 2011). Random survival forests and DeepSurv extend ensemble learning and deep networks to survival data (Ishwaran et al., 2008; Katzman et al., 2018), and decision-level multi-omics fusion has been used for breast-cancer overall-survival prediction (Mitchel et al., 2019).</w:t>
      </w:r>
    </w:p>
    <w:p>
      <w:pPr>
        <w:spacing w:after="120" w:line="240" w:lineRule="auto"/>
        <w:ind w:firstLine="0"/>
        <w:jc w:val="both"/>
      </w:pPr>
      <w:r>
        <w:rPr>
          <w:rFonts w:ascii="Times New Roman" w:hAnsi="Times New Roman" w:eastAsia="宋体" w:cs="Times New Roman"/>
          <w:b w:val="0"/>
          <w:sz w:val="22"/>
        </w:rPr>
        <w:t>Multi-omics fusion strategies have progressed from early feature concatenation, decision-level fusion, and stacking toward attention-based, low-rank bilinear, and graph-neural-network deep integration (Cantini et al., 2021; Mitchel et al., 2019; Subramanian et al., 2020). Generative adversarial networks (GANs) and their Wasserstein variants offer conditional augmentation for small-sample omics data, but test-set information leakage must be strictly controlled (Arjovsky et al., 2017; Goodfellow et al., 2014; Gulrajani et al., 2017). A systematic comparison of how these fusion and augmentation strategies preserve sample alignment, feature-scale consistency, and model interpretability is still lacking.</w:t>
      </w:r>
    </w:p>
    <w:p>
      <w:pPr>
        <w:spacing w:after="120" w:line="240" w:lineRule="auto"/>
        <w:ind w:firstLine="0"/>
        <w:jc w:val="both"/>
      </w:pPr>
      <w:r>
        <w:rPr>
          <w:rFonts w:ascii="Times New Roman" w:hAnsi="Times New Roman" w:eastAsia="宋体" w:cs="Times New Roman"/>
          <w:b w:val="0"/>
          <w:sz w:val="22"/>
        </w:rPr>
        <w:t>Interpretability is a prerequisite for translating omics predictors into clinical practice. Saliency maps, Grad-CAM, LIME, and SHAP explain model outputs from gradient, local-perturbation, or game-theoretic perspectives (Lundberg and Lee, 2017; Ribeiro et al., 2016; Selvaraju et al., 2017; Simonyan et al., 2014).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rPr>
          <w:rFonts w:ascii="Times New Roman" w:hAnsi="Times New Roman" w:eastAsia="宋体" w:cs="Times New Roman"/>
          <w:b w:val="0"/>
          <w:sz w:val="22"/>
        </w:rPr>
        <w:t>The contributions are: a JSD-guided center-spiral omics imaging framework; a systematic comparison of classical machine learning, MLP, FullSizeCNN, and multiple multi-omics fusion strategies; mean and standard deviation under strict five-fold cross-validation; key-factor visualization with SHAP, CNN saliency, and gene functional-category maps; and a scheme-2 functional-category masking experiment with equal-size random-masking controls to assess the contribution of each functional module to PAM50 classification and survival-risk modeling. Finally, we include an exploratory analysis of Hypoxia, ROS, OXPHOS, UPR, mTORC1, Glycolysis, EMT, and DNA-repair pathways to examine whether image-based key factors map onto tumor stress-adaptive programs.</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rPr>
          <w:rFonts w:ascii="Times New Roman" w:hAnsi="Times New Roman" w:eastAsia="宋体" w:cs="Times New Roman"/>
          <w:b w:val="0"/>
          <w:sz w:val="22"/>
        </w:rPr>
        <w:t>This section gives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stress-pathway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and community reordering in Table S30.</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rPr>
          <w:rFonts w:ascii="Times New Roman" w:hAnsi="Times New Roman" w:eastAsia="宋体" w:cs="Times New Roman"/>
          <w:b w:val="0"/>
          <w:sz w:val="22"/>
        </w:rPr>
        <w:t>We used public TCGA-BRCA data from the Genomic Data Commons (GDC) and UCSC Xena. mRNA was the TCGA BRCA HiSeqV2 log2(RSEM+1) gene-expression matrix, CNV was rebuilt from GDC Gene Level Copy Number files (ASCAT2, ASCAT3, and ABSOLUTE LiftOver), with integer copy number discretized to GISTIC2-like values (0→-2, 1→-1, 2→0, 3→+1, ≥4→+2; missing→0),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rPr>
          <w:rFonts w:ascii="Times New Roman" w:hAnsi="Times New Roman" w:eastAsia="宋体" w:cs="Times New Roman"/>
          <w:b w:val="0"/>
          <w:sz w:val="22"/>
        </w:rPr>
        <w:t>The primary analyses used leak-free five-fold cross-validation, with feature selection, scaling, JSD ordering, and image generation performed inside each training fold. An earlier cohort-level exploratory pipeline that pre-selected features and ordered images on the full cohort is retained for historical comparison only and is not used for the primary performance claims. Base feature-selection methods were low-variance filtering, ANOVA F, L1-regularized linear SVM, and Jensen-Shannon divergence (JSD) (Lin, 1991). JSD compares binned histograms of a feature across classes and computes the symmetric information divergence between two discrete distributions. Leak-free nested repeated cross-validation (Supplementary Table S24) and strict PAM50-exclusion analyses (Supplementary Table S25) provide additional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rPr>
          <w:rFonts w:ascii="Times New Roman" w:hAnsi="Times New Roman" w:eastAsia="宋体" w:cs="Times New Roman"/>
          <w:b w:val="0"/>
          <w:sz w:val="22"/>
        </w:rP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(Pölsterl, 2020),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(Szklarczyk et al., 2023),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rPr>
          <w:rFonts w:ascii="Times New Roman" w:hAnsi="Times New Roman" w:eastAsia="宋体" w:cs="Times New Roman"/>
          <w:b w:val="0"/>
          <w:sz w:val="22"/>
        </w:rPr>
        <w:t>The main text shows representative results; complete per-model, per-fold means and standard deviations are in Supplementary Tables S4-S30.</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rPr>
          <w:rFonts w:ascii="Times New Roman" w:hAnsi="Times New Roman" w:eastAsia="宋体" w:cs="Times New Roman"/>
          <w:b w:val="0"/>
          <w:sz w:val="22"/>
        </w:rPr>
        <w:t>Figure 2B provides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rPr>
          <w:rFonts w:ascii="Times New Roman" w:hAnsi="Times New Roman" w:eastAsia="宋体" w:cs="Times New Roman"/>
          <w:b w:val="0"/>
          <w:sz w:val="22"/>
        </w:rP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all single-omics survival models showed near-chance discrimination (C-index 0.56-0.62).</w:t>
      </w:r>
    </w:p>
    <w:p>
      <w:pPr>
        <w:spacing w:before="80" w:after="80" w:line="240" w:lineRule="auto"/>
        <w:ind w:firstLine="0"/>
        <w:jc w:val="center"/>
      </w:pPr>
      <w:r>
        <w:rPr>
          <w:rFonts w:ascii="Times New Roman" w:hAnsi="Times New Roman" w:eastAsia="宋体" w:cs="Times New Roman"/>
          <w:b/>
          <w:color w:val="1F4D78"/>
          <w:sz w:val="19"/>
        </w:rPr>
        <w:t>Table 3. Overall best single-omics models on full samples (5-fold CV, mean±SD; features selected within each training fold (leak-free)).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(PAM50 intersection n=486; survival n=725). C: advanced integration methods Transformer and DeepSurv (n=486 PAM50, 725 survival; DeepSurv has no PAM50 output). Bars show 5-fold CV mean ± SD.</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intersection single-omics mRNA RandomForest (0.8519±0.0285).</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modestly above the best single-omics models; Concat MLP reached 0.6410±0.0504, while gated attention (0.6255±0.0399) and Concat LogisticRegression (0.6234±0.0382) were lower. The survival gain was modest and was not formally tested against all single-omics models.</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stacking, and complex-method results below are exploratory estimates based on cohort-level pre-selected features and have not yet been recomputed under leak-free cross-validation. For pairwise fusion, PAM50 mRNA+CNV LogisticRegression reached Accuracy 0.9633±0.0039, mRNA+miRNA LogisticRegression 0.9095, and CNV+miRNA LogisticRegression 0.8438. For survival-risk modeling, mRNA+CNV Concat MLP reached C-index 0.7451, mRNA+miRNA Concat MLP 0.7337, and CNV+miRNA CNN LateAvg 0.7216. Nine-model stacking reached PAM50 Accuracy 0.9229, survival C-index 0.7321, and ROC AUC 0.7469, without stably exceeding the best simple fusion.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corresponding best single-omics on the same folds are in Supplementary Table S10. For PAM50, Transformer versus mRNA LogisticRegression had an Accuracy difference of 0.0000 (paired t p=0.9979, Wilcoxon p=0.8750) and a Macro-F1 difference of 0.0104 (p=0.6125, Wilcoxon p=1.0000). For survival, CNN late-average fusion versus mRNA MLP had a ROC AUC difference of 0.0333 (p=0.0930, Wilcoxon p=0.1250), and triple-omics Concat MLP versus mRNA FullSizeCNN had a C-index difference of 0.0140 (p=0.5480, Wilcoxon p=0.4375). Thus no optimal fusion reached a statistically significant advantage over its best single-omics counterpart.</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Pr>
          <w:rFonts w:ascii="Times New Roman" w:hAnsi="Times New Roman" w:eastAsia="宋体" w:cs="Times New Roman"/>
          <w:b w:val="0"/>
          <w:sz w:val="22"/>
        </w:rP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(Raudvere et al., 2019) with its default multiple-testing correction.</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Pathway enrichment indicated estrogen signaling, proliferation, cell division, and epithelial development;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rPr>
          <w:rFonts w:ascii="Times New Roman" w:hAnsi="Times New Roman" w:eastAsia="宋体" w:cs="Times New Roman"/>
          <w:b w:val="0"/>
          <w:sz w:val="22"/>
        </w:rPr>
        <w:t>To explain the contribution of different functional regions, we masked functional categories on the scheme-2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scheme-2 masking workflow (B1 before masking, B2 functional category map, B3 after masking; B4 flow diagram). C: functional-category masking delta heatmap for mRNA, CNV, and miRNA (red, decrease; blue, increase).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rPr>
          <w:rFonts w:ascii="Times New Roman" w:hAnsi="Times New Roman" w:eastAsia="宋体" w:cs="Times New Roman"/>
          <w:b w:val="0"/>
          <w:sz w:val="22"/>
        </w:rPr>
        <w:t>mRNA was the dominant signal source for PAM50 subtype reconstruction: its leak-free FullSizeCNN reached 0.8690±0.0169 Accuracy, with LogisticRegression lower (0.8221±0.0186). CNV alone had limited discriminative power (MLP 0.6005±0.0233), and its survival discrimination was near chance.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rPr>
          <w:rFonts w:ascii="Times New Roman" w:hAnsi="Times New Roman" w:eastAsia="宋体" w:cs="Times New Roman"/>
          <w:b w:val="0"/>
          <w:sz w:val="22"/>
        </w:rPr>
        <w:t>Multi-omics fusion added little for PAM50 because mRNA is already highly discriminative and other omics tend to inject noise under high dimensionality and small samples. For survival-risk modeling, CNN late-average fusion modestly exceeded the best single omics (ROC AUC 0.674 versus 0.626), indicating some complementarity, but the gain was small relative to the cross-validation standard deviation and was not formally significant.</w:t>
      </w:r>
    </w:p>
    <w:p>
      <w:pPr>
        <w:spacing w:after="120" w:line="240" w:lineRule="auto"/>
        <w:ind w:firstLine="0"/>
        <w:jc w:val="both"/>
      </w:pPr>
      <w:r>
        <w:rPr>
          <w:rFonts w:ascii="Times New Roman" w:hAnsi="Times New Roman" w:eastAsia="宋体" w:cs="Times New Roman"/>
          <w:b w:val="0"/>
          <w:sz w:val="22"/>
        </w:rPr>
        <w:t>The advantage of JSD imaging is interpretability rather than maximal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w:t>
      </w:r>
    </w:p>
    <w:p>
      <w:pPr>
        <w:spacing w:after="120" w:line="240" w:lineRule="auto"/>
        <w:ind w:firstLine="0"/>
        <w:jc w:val="both"/>
      </w:pPr>
      <w:r>
        <w:rPr>
          <w:rFonts w:ascii="Times New Roman" w:hAnsi="Times New Roman" w:eastAsia="宋体" w:cs="Times New Roman"/>
          <w:b w:val="0"/>
          <w:sz w:val="22"/>
        </w:rP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0.6238 versus 0.6162; miRNA 0.7989 versus 0.7785) and was similar on survival C-index. The discriminative information therefore comes mainly from the raw feature values, not from the imposed two-dimensional adjacency; the imaging interface mainly supports attribution.</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rPr>
          <w:rFonts w:ascii="Times New Roman" w:hAnsi="Times New Roman" w:eastAsia="宋体" w:cs="Times New Roman"/>
          <w:b w:val="0"/>
          <w:sz w:val="22"/>
        </w:rPr>
        <w:t>Gene-interaction analysis further showed that consensus genes were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rPr>
          <w:rFonts w:ascii="Times New Roman" w:hAnsi="Times New Roman" w:eastAsia="宋体" w:cs="Times New Roman"/>
          <w:b w:val="0"/>
          <w:sz w:val="22"/>
        </w:rPr>
        <w:t>Consistent with the focus on molecular stress responses and adaptive reprogramming, we examined Hypoxia, ROS, OXPHOS, UPR, mTORC1, Glycolysis, EMT, and DNA-repair pathways against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expected when subtypes are defined by expression. We therefore treat these as exploratory negative findings under bulk expression and compact signatures, and suggest validation in single-cell, spatial transcriptomic, or perturbation settings.</w:t>
      </w:r>
    </w:p>
    <w:p>
      <w:pPr>
        <w:spacing w:after="120" w:line="240" w:lineRule="auto"/>
        <w:ind w:firstLine="0"/>
        <w:jc w:val="both"/>
      </w:pPr>
      <w:r>
        <w:rPr>
          <w:rFonts w:ascii="Times New Roman" w:hAnsi="Times New Roman" w:eastAsia="宋体" w:cs="Times New Roman"/>
          <w:b w:val="0"/>
          <w:sz w:val="22"/>
        </w:rPr>
        <w:t>Compared with existing table-to-image representations, DeepInsight lays out features with unsupervised t-SNE, DeepInsight-3D extends this to multi-omics, and Yan et al. use transcriptomic feature maps for cancer-type and survival prediction (Sharma et al., 2019; Sharma et al., 2023; Yan et al., 2025); SurvConvMixer uses pathway-level expression images (Wang et al., 2024), and MoACNN-XGNet builds an interpretable multi-omics CNN for breast-cancer subtyping (Li et al., 2025).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p=0.093)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main multi-omics fusion analysis has not been fully re-evaluated under nested CV, and independent external validation is still necessary.</w:t>
      </w:r>
    </w:p>
    <w:p>
      <w:pPr>
        <w:spacing w:after="120" w:line="240" w:lineRule="auto"/>
        <w:ind w:firstLine="0"/>
        <w:jc w:val="both"/>
      </w:pPr>
      <w:r>
        <w:rPr>
          <w:rFonts w:ascii="Times New Roman" w:hAnsi="Times New Roman" w:eastAsia="宋体" w:cs="Times New Roman"/>
          <w:b w:val="0"/>
          <w:sz w:val="22"/>
        </w:rPr>
        <w:t>The contribution of this work is not the highest classification accuracy but a traceable, gene-mappable omics imaging representation that retains raw feature values while explicitly encoding discriminative importance into image space, providing a unified interface for downstream key-factor mining and clinical translation.</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rPr>
          <w:rFonts w:ascii="Times New Roman" w:hAnsi="Times New Roman" w:eastAsia="宋体" w:cs="Times New Roman"/>
          <w:b w:val="0"/>
          <w:sz w:val="22"/>
        </w:rPr>
        <w:t>We established a JSD-guided omics imaging and multi-omics fusion framework that supports both breast-cancer PAM50 subtype reconstruction and survival-risk ranking. mRNA was the strongest single omics for subtype reconstruction, and its discriminative information was not driven mainly by the canonical PAM50 panel. Multi-omics fusion showed numerical but not statistically significant gains for survival-risk modeling, pointing to complementary information that requires independent validation. FullSizeCNN provides a lightweight, interpretable baseline for omics imaging. Future work should validate on external multi-omics cohorts and explore more robust fusion strategies.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spacing w:after="80" w:line="240" w:lineRule="auto"/>
        <w:ind w:left="0" w:firstLine="0"/>
      </w:pPr>
      <w:r>
        <w:rPr>
          <w:rFonts w:ascii="Times New Roman" w:hAnsi="Times New Roman" w:eastAsia="宋体" w:cs="Times New Roman"/>
          <w:sz w:val="21"/>
        </w:rPr>
        <w:t>Arjovsky, M., Chintala, S., and Bottou, L. (2017). Wasserstein generative adversarial networks. In: Proceedings of the 34th International Conference on Machine Learning. PMLR. 70:214-223.</w:t>
      </w:r>
    </w:p>
    <w:p>
      <w:pPr>
        <w:spacing w:after="80" w:line="240" w:lineRule="auto"/>
        <w:ind w:left="0" w:firstLine="0"/>
      </w:pPr>
      <w:r>
        <w:rPr>
          <w:rFonts w:ascii="Times New Roman" w:hAnsi="Times New Roman" w:eastAsia="宋体" w:cs="Times New Roman"/>
          <w:sz w:val="21"/>
        </w:rPr>
        <w:t>Battiti, R. (1994). Using mutual information for selecting features in supervised neural net learning. IEEE Trans Neural Netw. 5(4):537-550. doi:10.1109/72.298224. PMID:18267827.</w:t>
      </w:r>
    </w:p>
    <w:p>
      <w:pPr>
        <w:spacing w:after="80" w:line="240" w:lineRule="auto"/>
        <w:ind w:left="0" w:firstLine="0"/>
      </w:pPr>
      <w:r>
        <w:rPr>
          <w:rFonts w:ascii="Times New Roman" w:hAnsi="Times New Roman" w:eastAsia="宋体" w:cs="Times New Roman"/>
          <w:sz w:val="21"/>
        </w:rPr>
        <w:t>Breiman, L. (2001). Random forests. Mach Learn. 45(1):5-32. doi:10.1023/A:1010933404324.</w:t>
      </w:r>
    </w:p>
    <w:p>
      <w:pPr>
        <w:spacing w:after="80" w:line="240" w:lineRule="auto"/>
        <w:ind w:left="0" w:firstLine="0"/>
      </w:pPr>
      <w:r>
        <w:rPr>
          <w:rFonts w:ascii="Times New Roman" w:hAnsi="Times New Roman" w:eastAsia="宋体" w:cs="Times New Roman"/>
          <w:sz w:val="21"/>
        </w:rPr>
        <w:t>Cancer Genome Atlas Network (2012). Comprehensive molecular portraits of human breast tumours. Nature. 490(7418):61-70. doi:10.1038/nature11412. PMID:23000897.</w:t>
      </w:r>
    </w:p>
    <w:p>
      <w:pPr>
        <w:spacing w:after="80" w:line="240" w:lineRule="auto"/>
        <w:ind w:left="0" w:firstLine="0"/>
      </w:pPr>
      <w:r>
        <w:rPr>
          <w:rFonts w:ascii="Times New Roman" w:hAnsi="Times New Roman" w:eastAsia="宋体" w:cs="Times New Roman"/>
          <w:sz w:val="21"/>
        </w:rPr>
        <w:t>Cancer Genome Atlas Research Network, Weinstein, J. N., Collisson, E. A., Mills, G. B., Shaw, K. R. M., Ozenberger, B. A., et al. (2013). The Cancer Genome Atlas Pan-Cancer analysis project. Nat Genet. 45(10):1113-1120. doi:10.1038/ng.2764. PMID:24071849.</w:t>
      </w:r>
    </w:p>
    <w:p>
      <w:pPr>
        <w:spacing w:after="80" w:line="240" w:lineRule="auto"/>
        <w:ind w:left="0" w:firstLine="0"/>
      </w:pPr>
      <w:r>
        <w:rPr>
          <w:rFonts w:ascii="Times New Roman" w:hAnsi="Times New Roman" w:eastAsia="宋体" w:cs="Times New Roman"/>
          <w:sz w:val="21"/>
        </w:rPr>
        <w:t>Cantini, L., Zakeri, P., Hernandez, C., Naldi, A., Thieffry, D., Remy, E., et al. (2021). Benchmarking joint multi-omics dimensionality reduction approaches for the study of cancer. Nat Commun. 12(1):124. doi:10.1038/s41467-020-20430-7. PMID:33402734.</w:t>
      </w:r>
    </w:p>
    <w:p>
      <w:pPr>
        <w:spacing w:after="80" w:line="240" w:lineRule="auto"/>
        <w:ind w:left="0" w:firstLine="0"/>
      </w:pPr>
      <w:r>
        <w:rPr>
          <w:rFonts w:ascii="Times New Roman" w:hAnsi="Times New Roman" w:eastAsia="宋体" w:cs="Times New Roman"/>
          <w:sz w:val="21"/>
        </w:rPr>
        <w:t>Chen, S., Navickas, A., and Goodarzi, H. (2024). Translational adaptation in breast cancer metastasis and emerging therapeutic opportunities. Trends Pharmacol Sci. 45(4):304-318. doi:10.1016/j.tips.2024.02.002.</w:t>
      </w:r>
    </w:p>
    <w:p>
      <w:pPr>
        <w:spacing w:after="80" w:line="240" w:lineRule="auto"/>
        <w:ind w:left="0" w:firstLine="0"/>
      </w:pPr>
      <w:r>
        <w:rPr>
          <w:rFonts w:ascii="Times New Roman" w:hAnsi="Times New Roman" w:eastAsia="宋体" w:cs="Times New Roman"/>
          <w:sz w:val="21"/>
        </w:rPr>
        <w:t>Ching, T., Himmelstein, D. S., Beaulieu-Jones, B. K., Kalinin, A. A., Do, B. T., Way, G. P., et al. (2018). Opportunities and obstacles for deep learning in biology and medicine. J R Soc Interface. 15(141):20170387. doi:10.1098/rsif.2017.0387. PMID:29618526.</w:t>
      </w:r>
    </w:p>
    <w:p>
      <w:pPr>
        <w:spacing w:after="80" w:line="240" w:lineRule="auto"/>
        <w:ind w:left="0" w:firstLine="0"/>
      </w:pPr>
      <w:r>
        <w:rPr>
          <w:rFonts w:ascii="Times New Roman" w:hAnsi="Times New Roman" w:eastAsia="宋体" w:cs="Times New Roman"/>
          <w:sz w:val="21"/>
        </w:rPr>
        <w:t>Ciriello, G., Gatza, M. L., Beck, A. H., Wilkerson, M. D., Rhie, S. K., Pastore, A., et al. (2015). Comprehensive molecular portraits of invasive lobular breast cancer. Cell. 163(2):506-519. doi:10.1016/j.cell.2015.09.033. PMID:26451490.</w:t>
      </w:r>
    </w:p>
    <w:p>
      <w:pPr>
        <w:spacing w:after="80" w:line="240" w:lineRule="auto"/>
        <w:ind w:left="0" w:firstLine="0"/>
      </w:pPr>
      <w:r>
        <w:rPr>
          <w:rFonts w:ascii="Times New Roman" w:hAnsi="Times New Roman" w:eastAsia="宋体" w:cs="Times New Roman"/>
          <w:sz w:val="21"/>
        </w:rPr>
        <w:t>Cortes, C., and Vapnik, V. (1995). Support-vector networks. Mach Learn. 20(3):273-297. doi:10.1007/BF00994018.</w:t>
      </w:r>
    </w:p>
    <w:p>
      <w:pPr>
        <w:spacing w:after="80" w:line="240" w:lineRule="auto"/>
        <w:ind w:left="0" w:firstLine="0"/>
      </w:pPr>
      <w:r>
        <w:rPr>
          <w:rFonts w:ascii="Times New Roman" w:hAnsi="Times New Roman" w:eastAsia="宋体" w:cs="Times New Roman"/>
          <w:sz w:val="21"/>
        </w:rPr>
        <w:t>Cox, D. R. (1972). Regression models and life-tables. J R Stat Soc Series B Stat Methodol. 34(2):187-202. doi:10.1111/j.2517-6161.1972.tb00899.x.</w:t>
      </w:r>
    </w:p>
    <w:p>
      <w:pPr>
        <w:spacing w:after="80" w:line="240" w:lineRule="auto"/>
        <w:ind w:left="0" w:firstLine="0"/>
      </w:pPr>
      <w:r>
        <w:rPr>
          <w:rFonts w:ascii="Times New Roman" w:hAnsi="Times New Roman" w:eastAsia="宋体" w:cs="Times New Roman"/>
          <w:sz w:val="21"/>
        </w:rPr>
        <w:t>Curtis, C., Shah, S. P., Chin, S. F., Turashvili, G., Rueda, O. M., Dunning, M. J., et al. (2012). The genomic and transcriptomic architecture of 2,000 breast tumours reveals novel subgroups. Nature. 486(7403):346-352. doi:10.1038/nature10983. PMID:22522925.</w:t>
      </w:r>
    </w:p>
    <w:p>
      <w:pPr>
        <w:spacing w:after="80" w:line="240" w:lineRule="auto"/>
        <w:ind w:left="0" w:firstLine="0"/>
      </w:pPr>
      <w:r>
        <w:rPr>
          <w:rFonts w:ascii="Times New Roman" w:hAnsi="Times New Roman" w:eastAsia="宋体" w:cs="Times New Roman"/>
          <w:sz w:val="21"/>
        </w:rPr>
        <w:t>Friedman, J. H. (2001). Greedy function approximation: a gradient boosting machine. Ann Stat. 29(5):1189-1232. doi:10.1214/aos/1013203451.</w:t>
      </w:r>
    </w:p>
    <w:p>
      <w:pPr>
        <w:spacing w:after="80" w:line="240" w:lineRule="auto"/>
        <w:ind w:left="0" w:firstLine="0"/>
      </w:pPr>
      <w:r>
        <w:rPr>
          <w:rFonts w:ascii="Times New Roman" w:hAnsi="Times New Roman" w:eastAsia="宋体" w:cs="Times New Roman"/>
          <w:sz w:val="21"/>
        </w:rPr>
        <w:t>Goodfellow, I., Pouget-Abadie, J., Mirza, M., Xu, B., Warde-Farley, D., Ozair, S., et al. (2014). Generative adversarial nets. In: Advances in Neural Information Processing Systems. 27:2672-2680. arXiv:1406.2661.</w:t>
      </w:r>
    </w:p>
    <w:p>
      <w:pPr>
        <w:spacing w:after="80" w:line="240" w:lineRule="auto"/>
        <w:ind w:left="0" w:firstLine="0"/>
      </w:pPr>
      <w:r>
        <w:rPr>
          <w:rFonts w:ascii="Times New Roman" w:hAnsi="Times New Roman" w:eastAsia="宋体" w:cs="Times New Roman"/>
          <w:sz w:val="21"/>
        </w:rPr>
        <w:t>Gulrajani, I., Ahmed, F., Arjovsky, M., Dumoulin, V., and Courville, A. (2017). Improved training of Wasserstein GANs. In: Advances in Neural Information Processing Systems. 5767-5777. arXiv:1704.00028.</w:t>
      </w:r>
    </w:p>
    <w:p>
      <w:pPr>
        <w:spacing w:after="80" w:line="240" w:lineRule="auto"/>
        <w:ind w:left="0" w:firstLine="0"/>
      </w:pPr>
      <w:r>
        <w:rPr>
          <w:rFonts w:ascii="Times New Roman" w:hAnsi="Times New Roman" w:eastAsia="宋体" w:cs="Times New Roman"/>
          <w:sz w:val="21"/>
        </w:rPr>
        <w:t>Guyon, I., and Elisseeff, A. (2003). An introduction to variable and feature selection. J Mach Learn Res. 3:1157-1182.</w:t>
      </w:r>
    </w:p>
    <w:p>
      <w:pPr>
        <w:spacing w:after="80" w:line="240" w:lineRule="auto"/>
        <w:ind w:left="0" w:firstLine="0"/>
      </w:pPr>
      <w:r>
        <w:rPr>
          <w:rFonts w:ascii="Times New Roman" w:hAnsi="Times New Roman" w:eastAsia="宋体" w:cs="Times New Roman"/>
          <w:sz w:val="21"/>
        </w:rPr>
        <w:t>Harrell, F. E. Jr., Califf, R. M., Pryor, D. B., Lee, K. L., and Rosati, R. A. (1982). Evaluating the yield of medical tests. JAMA. 247(18):2543-2546. doi:10.1001/jama.1982.03320430047030. PMID:7069920.</w:t>
      </w:r>
    </w:p>
    <w:p>
      <w:pPr>
        <w:spacing w:after="80" w:line="240" w:lineRule="auto"/>
        <w:ind w:left="0" w:firstLine="0"/>
      </w:pPr>
      <w:r>
        <w:rPr>
          <w:rFonts w:ascii="Times New Roman" w:hAnsi="Times New Roman" w:eastAsia="宋体" w:cs="Times New Roman"/>
          <w:sz w:val="21"/>
        </w:rPr>
        <w:t>He, K., Zhang, X., Ren, S., and Sun, J. (2016). Deep residual learning for image recognition. In: Proceedings of the IEEE Conference on Computer Vision and Pattern Recognition. 770-778. doi:10.1109/CVPR.2016.90.</w:t>
      </w:r>
    </w:p>
    <w:p>
      <w:pPr>
        <w:spacing w:after="80" w:line="240" w:lineRule="auto"/>
        <w:ind w:left="0" w:firstLine="0"/>
      </w:pPr>
      <w:r>
        <w:rPr>
          <w:rFonts w:ascii="Times New Roman" w:hAnsi="Times New Roman" w:eastAsia="宋体" w:cs="Times New Roman"/>
          <w:sz w:val="21"/>
        </w:rPr>
        <w:t>Hoadley, K. A., Yau, C., Wolf, D. M., Cherniack, A. D., Tamborero, D., Ng, S., et al. (2014). Multiplatform analysis of 12 cancer types reveals molecular classification within and across tissues of origin. Cell. 158(4):929-944. doi:10.1016/j.cell.2014.06.049. PMID:25109877.</w:t>
      </w:r>
    </w:p>
    <w:p>
      <w:pPr>
        <w:spacing w:after="80" w:line="240" w:lineRule="auto"/>
        <w:ind w:left="0" w:firstLine="0"/>
      </w:pPr>
      <w:r>
        <w:rPr>
          <w:rFonts w:ascii="Times New Roman" w:hAnsi="Times New Roman" w:eastAsia="宋体" w:cs="Times New Roman"/>
          <w:sz w:val="21"/>
        </w:rPr>
        <w:t>Hu, J., Shen, L., and Sun, G. (2018). Squeeze-and-excitation networks. In: Proceedings of the IEEE Conference on Computer Vision and Pattern Recognition. 7132-7141. doi:10.1109/CVPR.2018.00745.</w:t>
      </w:r>
    </w:p>
    <w:p>
      <w:pPr>
        <w:spacing w:after="80" w:line="240" w:lineRule="auto"/>
        <w:ind w:left="0" w:firstLine="0"/>
      </w:pPr>
      <w:r>
        <w:rPr>
          <w:rFonts w:ascii="Times New Roman" w:hAnsi="Times New Roman" w:eastAsia="宋体" w:cs="Times New Roman"/>
          <w:sz w:val="21"/>
        </w:rPr>
        <w:t>Ishwaran, H., Kogalur, U. B., Blackstone, E. H., and Lauer, M. S. (2008). Random survival forests. Ann Appl Stat. 2(3):841-860. doi:10.1214/08-AOAS169.</w:t>
      </w:r>
    </w:p>
    <w:p>
      <w:pPr>
        <w:spacing w:after="80" w:line="240" w:lineRule="auto"/>
        <w:ind w:left="0" w:firstLine="0"/>
      </w:pPr>
      <w:r>
        <w:rPr>
          <w:rFonts w:ascii="Times New Roman" w:hAnsi="Times New Roman" w:eastAsia="宋体" w:cs="Times New Roman"/>
          <w:sz w:val="21"/>
        </w:rPr>
        <w:t>Katzman, J. L., Shaham, U., Cloninger, A., Bates, J., Jiang, T., and Kluger, Y. (2018). DeepSurv: personalized treatment recommender system using a Cox proportional hazards deep neural network. BMC Med Res Methodol. 18(1):24. doi:10.1186/s12874-018-0482-1. PMID:29482517.</w:t>
      </w:r>
    </w:p>
    <w:p>
      <w:pPr>
        <w:spacing w:after="80" w:line="240" w:lineRule="auto"/>
        <w:ind w:left="0" w:firstLine="0"/>
      </w:pPr>
      <w:r>
        <w:rPr>
          <w:rFonts w:ascii="Times New Roman" w:hAnsi="Times New Roman" w:eastAsia="宋体" w:cs="Times New Roman"/>
          <w:sz w:val="21"/>
        </w:rPr>
        <w:t>Krizhevsky, A., Sutskever, I., and Hinton, G. E. (2012). ImageNet classification with deep convolutional neural networks. In: Advances in Neural Information Processing Systems. 25:1097-1105.</w:t>
      </w:r>
    </w:p>
    <w:p>
      <w:pPr>
        <w:spacing w:after="80" w:line="240" w:lineRule="auto"/>
        <w:ind w:left="0" w:firstLine="0"/>
      </w:pPr>
      <w:r>
        <w:rPr>
          <w:rFonts w:ascii="Times New Roman" w:hAnsi="Times New Roman" w:eastAsia="宋体" w:cs="Times New Roman"/>
          <w:sz w:val="21"/>
        </w:rPr>
        <w:t>Kursa, M. B., and Rudnicki, W. R. (2010). Feature selection with the Boruta package. J Stat Softw. 36(11):1-13. doi:10.18637/jss.v036.i11.</w:t>
      </w:r>
    </w:p>
    <w:p>
      <w:pPr>
        <w:spacing w:after="80" w:line="240" w:lineRule="auto"/>
        <w:ind w:left="0" w:firstLine="0"/>
      </w:pPr>
      <w:r>
        <w:rPr>
          <w:rFonts w:ascii="Times New Roman" w:hAnsi="Times New Roman" w:eastAsia="宋体" w:cs="Times New Roman"/>
          <w:sz w:val="21"/>
        </w:rPr>
        <w:t>LeCun, Y., Bottou, L., Bengio, Y., and Haffner, P. (1998). Gradient-based learning applied to document recognition. Proc IEEE. 86(11):2278-2324. doi:10.1109/5.726791.</w:t>
      </w:r>
    </w:p>
    <w:p>
      <w:pPr>
        <w:spacing w:after="80" w:line="240" w:lineRule="auto"/>
        <w:ind w:left="0" w:firstLine="0"/>
      </w:pPr>
      <w:r>
        <w:rPr>
          <w:rFonts w:ascii="Times New Roman" w:hAnsi="Times New Roman" w:eastAsia="宋体" w:cs="Times New Roman"/>
          <w:sz w:val="21"/>
        </w:rPr>
        <w:t>Lehmann, B. D., Bauer, J. A., Chen, X., Sanders, M. E., Chakravarthy, A. B., Shyr, Y., et al. (2011). Identification of human triple-negative breast cancer subtypes and preclinical models for selection of targeted therapies. J Clin Invest. 121(7):2750-2767. doi:10.1172/JCI45014. PMID:21633166.</w:t>
      </w:r>
    </w:p>
    <w:p>
      <w:pPr>
        <w:spacing w:after="80" w:line="240" w:lineRule="auto"/>
        <w:ind w:left="0" w:firstLine="0"/>
      </w:pPr>
      <w:r>
        <w:rPr>
          <w:rFonts w:ascii="Times New Roman" w:hAnsi="Times New Roman" w:eastAsia="宋体" w:cs="Times New Roman"/>
          <w:sz w:val="21"/>
        </w:rPr>
        <w:t>Li, Q., Liu, L., Zhang, Q., Zhang, X., Li, N., Zhao, Y., et al. (2025). MoACNN-XGNet: interpretable multi-omics convolutional network for breast cancer subtyping and prognostic genes identification. IEEE J Biomed Health Inform. Early access. doi:10.1109/JBHI.2025.3595381.</w:t>
      </w:r>
    </w:p>
    <w:p>
      <w:pPr>
        <w:spacing w:after="80" w:line="240" w:lineRule="auto"/>
        <w:ind w:left="0" w:firstLine="0"/>
      </w:pPr>
      <w:r>
        <w:rPr>
          <w:rFonts w:ascii="Times New Roman" w:hAnsi="Times New Roman" w:eastAsia="宋体" w:cs="Times New Roman"/>
          <w:sz w:val="21"/>
        </w:rPr>
        <w:t>Libbrecht, M. W., and Noble, W. S. (2015). Machine learning applications in genetics and genomics. Nat Rev Genet. 16(6):321-332. doi:10.1038/nrg3920. PMID:25948244.</w:t>
      </w:r>
    </w:p>
    <w:p>
      <w:pPr>
        <w:spacing w:after="80" w:line="240" w:lineRule="auto"/>
        <w:ind w:left="0" w:firstLine="0"/>
      </w:pPr>
      <w:r>
        <w:rPr>
          <w:rFonts w:ascii="Times New Roman" w:hAnsi="Times New Roman" w:eastAsia="宋体" w:cs="Times New Roman"/>
          <w:sz w:val="21"/>
        </w:rPr>
        <w:t>Lin, J. (1991). Divergence measures based on the Shannon entropy. IEEE Trans Inf Theory. 37(1):145-151. doi:10.1109/18.61115.</w:t>
      </w:r>
    </w:p>
    <w:p>
      <w:pPr>
        <w:spacing w:after="80" w:line="240" w:lineRule="auto"/>
        <w:ind w:left="0" w:firstLine="0"/>
      </w:pPr>
      <w:r>
        <w:rPr>
          <w:rFonts w:ascii="Times New Roman" w:hAnsi="Times New Roman" w:eastAsia="宋体" w:cs="Times New Roman"/>
          <w:sz w:val="21"/>
        </w:rPr>
        <w:t>Lundberg, S. M., and Lee, S. I. (2017). A unified approach to interpreting model predictions. In: Advances in Neural Information Processing Systems. 30:4765-4774. arXiv:1705.07874.</w:t>
      </w:r>
    </w:p>
    <w:p>
      <w:pPr>
        <w:spacing w:after="80" w:line="240" w:lineRule="auto"/>
        <w:ind w:left="0" w:firstLine="0"/>
      </w:pPr>
      <w:r>
        <w:rPr>
          <w:rFonts w:ascii="Times New Roman" w:hAnsi="Times New Roman" w:eastAsia="宋体" w:cs="Times New Roman"/>
          <w:sz w:val="21"/>
        </w:rPr>
        <w:t>Mitchel, J., Chatlin, K., Tong, L., and Wang, M. D. (2019). A translational pipeline for overall survival prediction of breast cancer patients by decision-level integration of multi-omics data. In: Proceedings IEEE International Conference on Bioinformatics and Biomedicine. 1573-1580. doi:10.1109/BIBM47256.2019.8983243. PMID:32601549.</w:t>
      </w:r>
    </w:p>
    <w:p>
      <w:pPr>
        <w:spacing w:after="80" w:line="240" w:lineRule="auto"/>
        <w:ind w:left="0" w:firstLine="0"/>
      </w:pPr>
      <w:r>
        <w:rPr>
          <w:rFonts w:ascii="Times New Roman" w:hAnsi="Times New Roman" w:eastAsia="宋体" w:cs="Times New Roman"/>
          <w:sz w:val="21"/>
        </w:rPr>
        <w:t>Parker, J. S., Mullins, M., Cheang, M. C. U., Leung, S., Voduc, D., Vickery, T., et al. (2009). Supervised risk predictor of breast cancer based on intrinsic subtypes. J Clin Oncol. 27(8):1160-1167. doi:10.1200/JCO.2008.18.1370. PMID:19204204.</w:t>
      </w:r>
    </w:p>
    <w:p>
      <w:pPr>
        <w:spacing w:after="80" w:line="240" w:lineRule="auto"/>
        <w:ind w:left="0" w:firstLine="0"/>
      </w:pPr>
      <w:r>
        <w:rPr>
          <w:rFonts w:ascii="Times New Roman" w:hAnsi="Times New Roman" w:eastAsia="宋体" w:cs="Times New Roman"/>
          <w:sz w:val="21"/>
        </w:rPr>
        <w:t>Peng, H., Long, F., and Ding, C. (2005). Feature selection based on mutual information: criteria of max-dependency, max-relevance, and min-redundancy. IEEE Trans Pattern Anal Mach Intell. 27(8):1226-1238. doi:10.1109/TPAMI.2005.159. PMID:16119262.</w:t>
      </w:r>
    </w:p>
    <w:p>
      <w:pPr>
        <w:spacing w:after="80" w:line="240" w:lineRule="auto"/>
        <w:ind w:left="0" w:firstLine="0"/>
      </w:pPr>
      <w:r>
        <w:rPr>
          <w:rFonts w:ascii="Times New Roman" w:hAnsi="Times New Roman" w:eastAsia="宋体" w:cs="Times New Roman"/>
          <w:sz w:val="21"/>
        </w:rPr>
        <w:t>Perou, C. M., Sørlie, T., Eisen, M. B., van de Rijn, M., Jeffrey, S. S., Rees, C. A., et al. (2000). Molecular portraits of human breast tumours. Nature. 406(6797):747-752. doi:10.1038/35021093. PMID:10963602.</w:t>
      </w:r>
    </w:p>
    <w:p>
      <w:r>
        <w:t>Pölsterl, S. (2020). scikit-survival: A library for time-to-event analysis built on top of scikit-learn. J Mach Learn Res. 21(212):1-6.</w:t>
      </w:r>
    </w:p>
    <w:p>
      <w:r>
        <w:t>Raudvere, U., Kolberg, L., Kuzmin, I., Arak, T., Adler, P., Peterson, H., and Vilo, J. (2019). g:Profiler: a web server for functional enrichment analysis and conversions of gene lists (2019 update). Nucleic Acids Res. 47(W1):W191-W198. doi:10.1093/nar/gkz369.</w:t>
      </w:r>
    </w:p>
    <w:p>
      <w:pPr>
        <w:spacing w:after="80" w:line="240" w:lineRule="auto"/>
        <w:ind w:left="0" w:firstLine="0"/>
      </w:pPr>
      <w:r>
        <w:rPr>
          <w:rFonts w:ascii="Times New Roman" w:hAnsi="Times New Roman" w:eastAsia="宋体" w:cs="Times New Roman"/>
          <w:sz w:val="21"/>
        </w:rPr>
        <w:t>Ribeiro, M. T., Singh, S., and Guestrin, C. (2016). "Why should I trust you?": explaining the predictions of any classifier. In: Proceedings of the 22nd ACM SIGKDD International Conference on Knowledge Discovery and Data Mining. 1135-1144. doi:10.1145/2939672.2939778.</w:t>
      </w:r>
    </w:p>
    <w:p>
      <w:pPr>
        <w:spacing w:after="80" w:line="240" w:lineRule="auto"/>
        <w:ind w:left="0" w:firstLine="0"/>
      </w:pPr>
      <w:r>
        <w:rPr>
          <w:rFonts w:ascii="Times New Roman" w:hAnsi="Times New Roman" w:eastAsia="宋体" w:cs="Times New Roman"/>
          <w:sz w:val="21"/>
        </w:rPr>
        <w:t>Ronneberger, O., Fischer, P., and Brox, T. (2015). U-Net: convolutional networks for biomedical image segmentation. In: Medical Image Computing and Computer-Assisted Intervention - MICCAI 2015. 234-241. doi:10.1007/978-3-319-24574-4_28.</w:t>
      </w:r>
    </w:p>
    <w:p>
      <w:pPr>
        <w:spacing w:after="80" w:line="240" w:lineRule="auto"/>
        <w:ind w:left="0" w:firstLine="0"/>
      </w:pPr>
      <w:r>
        <w:rPr>
          <w:rFonts w:ascii="Times New Roman" w:hAnsi="Times New Roman" w:eastAsia="宋体" w:cs="Times New Roman"/>
          <w:sz w:val="21"/>
        </w:rPr>
        <w:t>Selvaraju, R. R., Cogswell, M., Das, A., Vedantam, R., Parikh, D., and Batra, D. (2017). Grad-CAM: visual explanations from deep networks via gradient-based localization. In: Proceedings of the IEEE International Conference on Computer Vision. 618-626. doi:10.1109/ICCV.2017.74.</w:t>
      </w:r>
    </w:p>
    <w:p>
      <w:pPr>
        <w:spacing w:after="80" w:line="240" w:lineRule="auto"/>
        <w:ind w:left="0" w:firstLine="0"/>
      </w:pPr>
      <w:r>
        <w:rPr>
          <w:rFonts w:ascii="Times New Roman" w:hAnsi="Times New Roman" w:eastAsia="宋体" w:cs="Times New Roman"/>
          <w:sz w:val="21"/>
        </w:rPr>
        <w:t>Sharma, A., Vans, E., Shigemizu, D., Boroevich, K. A., and Tsunoda, T. (2019). DeepInsight: a methodology to transform a non-image data to an image for convolution neural network architecture. Sci Rep. 9(1):11399. doi:10.1038/s41598-019-47765-6. PMID:31388036.</w:t>
      </w:r>
    </w:p>
    <w:p>
      <w:pPr>
        <w:spacing w:after="80" w:line="240" w:lineRule="auto"/>
        <w:ind w:left="0" w:firstLine="0"/>
      </w:pPr>
      <w:r>
        <w:rPr>
          <w:rFonts w:ascii="Times New Roman" w:hAnsi="Times New Roman" w:eastAsia="宋体" w:cs="Times New Roman"/>
          <w:sz w:val="21"/>
        </w:rPr>
        <w:t>Sharma, A., Lysenko, A., Boroevich, K. A., and Tsunoda, T. (2023). DeepInsight-3D architecture for anti-cancer drug response prediction with deep-learning on multi-omics. Sci Rep. 13(1):2483. doi:10.1038/s41598-023-29644-3. PMID:36774402.</w:t>
      </w:r>
    </w:p>
    <w:p>
      <w:pPr>
        <w:spacing w:after="80" w:line="240" w:lineRule="auto"/>
        <w:ind w:left="0" w:firstLine="0"/>
      </w:pPr>
      <w:r>
        <w:rPr>
          <w:rFonts w:ascii="Times New Roman" w:hAnsi="Times New Roman" w:eastAsia="宋体" w:cs="Times New Roman"/>
          <w:sz w:val="21"/>
        </w:rPr>
        <w:t>Shi, F., Wang, M., Teng, Z., Cai, L., Liu, G., Xing, Y., et al. (2026). HDGS-Net: nucleosome occupancy prediction based on a hybrid dilated gated separable convolutional neural network. BMC Genomics. 27(1):209. doi:10.1186/s12864-026-12523-2.</w:t>
      </w:r>
    </w:p>
    <w:p>
      <w:pPr>
        <w:spacing w:after="80" w:line="240" w:lineRule="auto"/>
        <w:ind w:left="0" w:firstLine="0"/>
      </w:pPr>
      <w:r>
        <w:rPr>
          <w:rFonts w:ascii="Times New Roman" w:hAnsi="Times New Roman" w:eastAsia="宋体" w:cs="Times New Roman"/>
          <w:sz w:val="21"/>
        </w:rPr>
        <w:t>Simonyan, K., Vedaldi, A., and Zisserman, A. (2014). Deep inside convolutional networks: visualising image classification models and saliency maps. arXiv:1312.6034.</w:t>
      </w:r>
    </w:p>
    <w:p>
      <w:pPr>
        <w:spacing w:after="80" w:line="240" w:lineRule="auto"/>
        <w:ind w:left="0" w:firstLine="0"/>
      </w:pPr>
      <w:r>
        <w:rPr>
          <w:rFonts w:ascii="Times New Roman" w:hAnsi="Times New Roman" w:eastAsia="宋体" w:cs="Times New Roman"/>
          <w:sz w:val="21"/>
        </w:rPr>
        <w:t>Subramanian, I., Verma, S., Kumar, S., Jere, A., and Anamika, K. (2020). Multi-omics data integration, interpretation, and its application. Bioinform Biol Insights. 14:1177932219899051. doi:10.1177/1177932219899051. PMID:32076369.</w:t>
      </w:r>
    </w:p>
    <w:p>
      <w:pPr>
        <w:spacing w:after="80" w:line="240" w:lineRule="auto"/>
        <w:ind w:left="0" w:firstLine="0"/>
      </w:pPr>
      <w:r>
        <w:rPr>
          <w:rFonts w:ascii="Times New Roman" w:hAnsi="Times New Roman" w:eastAsia="宋体" w:cs="Times New Roman"/>
          <w:sz w:val="21"/>
        </w:rPr>
        <w:t>Sui, W., Wang, J., Miao, D., Jiang, Y., Liu, G., Yang, S., et al. (2026). The Evolution of Modeling Approaches: From Statistical Models to Deep Learning for Locust and Grasshopper Forecasting. Insects. 17(2):182. doi:10.3390/insects17020182.</w:t>
      </w:r>
    </w:p>
    <w:p>
      <w:pPr>
        <w:spacing w:after="80" w:line="240" w:lineRule="auto"/>
        <w:ind w:left="0" w:firstLine="0"/>
      </w:pPr>
      <w:r>
        <w:rPr>
          <w:rFonts w:ascii="Times New Roman" w:hAnsi="Times New Roman" w:eastAsia="宋体" w:cs="Times New Roman"/>
          <w:sz w:val="21"/>
        </w:rPr>
        <w:t>Sørlie, T., Perou, C. M., Tibshirani, R., Aas, T., Geisler, S., Johnsen, H., et al. (2001). Gene expression patterns of breast carcinomas distinguish tumor subclasses with clinical implications. Proc Natl Acad Sci U S A. 98(19):10869-10874. doi:10.1073/pnas.191367098. PMID:11553815.</w:t>
      </w:r>
    </w:p>
    <w:p>
      <w:r>
        <w:t>Szklarczyk, D., Kirsch, R., Koutrouli, M., Nastou, K., Mehryary, F., Hachilif, R., et al. (2023). The STRING database in 2023: protein-protein association networks and functional enrichment analyses for any sequenced genome of interest. Nucleic Acids Res. 51(D1):D638-D646. doi:10.1093/nar/gkac1000.</w:t>
      </w:r>
    </w:p>
    <w:p>
      <w:pPr>
        <w:spacing w:after="80" w:line="240" w:lineRule="auto"/>
        <w:ind w:left="0" w:firstLine="0"/>
      </w:pPr>
      <w:r>
        <w:rPr>
          <w:rFonts w:ascii="Times New Roman" w:hAnsi="Times New Roman" w:eastAsia="宋体" w:cs="Times New Roman"/>
          <w:sz w:val="21"/>
        </w:rPr>
        <w:t>Tibshirani, R. (1996). Regression shrinkage and selection via the lasso. J R Stat Soc Series B Stat Methodol. 58(1):267-288. doi:10.1111/j.2517-6161.1996.tb02080.x.</w:t>
      </w:r>
    </w:p>
    <w:p>
      <w:pPr>
        <w:spacing w:after="80" w:line="240" w:lineRule="auto"/>
        <w:ind w:left="0" w:firstLine="0"/>
      </w:pPr>
      <w:r>
        <w:rPr>
          <w:rFonts w:ascii="Times New Roman" w:hAnsi="Times New Roman" w:eastAsia="宋体" w:cs="Times New Roman"/>
          <w:sz w:val="21"/>
        </w:rPr>
        <w:t>Uno, H., Cai, T., Pencina, M. J., D'Agostino, R. B., and Wei, L. J. (2011). On the C-statistics for evaluating overall adequacy of risk prediction procedures with censored survival data. Stat Med. 30(10):1105-1117. doi:10.1002/sim.4154. PMID:21484848.</w:t>
      </w:r>
    </w:p>
    <w:p>
      <w:pPr>
        <w:spacing w:after="80" w:line="240" w:lineRule="auto"/>
        <w:ind w:left="0" w:firstLine="0"/>
      </w:pPr>
      <w:r>
        <w:rPr>
          <w:rFonts w:ascii="Times New Roman" w:hAnsi="Times New Roman" w:eastAsia="宋体" w:cs="Times New Roman"/>
          <w:sz w:val="21"/>
        </w:rPr>
        <w:t>Vaswani, A., Shazeer, N., Parmar, N., Uszkoreit, J., Jones, L., Gomez, A. N., et al. (2017). Attention is all you need. In: Advances in Neural Information Processing Systems. 30:5998-6008. arXiv:1706.03762.</w:t>
      </w:r>
    </w:p>
    <w:p>
      <w:pPr>
        <w:spacing w:after="80" w:line="240" w:lineRule="auto"/>
        <w:ind w:left="0" w:firstLine="0"/>
      </w:pPr>
      <w:r>
        <w:rPr>
          <w:rFonts w:ascii="Times New Roman" w:hAnsi="Times New Roman" w:eastAsia="宋体" w:cs="Times New Roman"/>
          <w:sz w:val="21"/>
        </w:rPr>
        <w:t>Wang, S., Liu, Y., Zhang, H., and Liu, Z. (2024). SurvConvMixer: robust and interpretable cancer survival prediction based on ConvMixer using pathway-level gene expression images. BMC Bioinformatics. 25(1):133. doi:10.1186/s12859-024-05745-2.</w:t>
      </w:r>
    </w:p>
    <w:p>
      <w:pPr>
        <w:spacing w:after="80" w:line="240" w:lineRule="auto"/>
        <w:ind w:left="0" w:firstLine="0"/>
      </w:pPr>
      <w:r>
        <w:rPr>
          <w:rFonts w:ascii="Times New Roman" w:hAnsi="Times New Roman" w:eastAsia="宋体" w:cs="Times New Roman"/>
          <w:sz w:val="21"/>
        </w:rPr>
        <w:t>Yan, M., Dong, Z., Zhu, Z., Qiao, C., Wang, M., Teng, Z., et al. (2025). Cancer type and survival prediction based on transcriptomic feature map. Comput Biol Med. 192:110267. doi:10.1016/j.compbiomed.2025.110267. PMID:40311464.</w:t>
      </w:r>
    </w:p>
    <w:p>
      <w:pPr>
        <w:spacing w:after="80" w:line="240" w:lineRule="auto"/>
        <w:ind w:left="0" w:firstLine="0"/>
      </w:pPr>
      <w:r>
        <w:rPr>
          <w:rFonts w:ascii="Times New Roman" w:hAnsi="Times New Roman" w:eastAsia="宋体" w:cs="Times New Roman"/>
          <w:sz w:val="21"/>
        </w:rPr>
        <w:t>Zou, H., and Hastie, T. (2005). Regularization and variable selection via the elastic net. J R Stat Soc Series B Stat Methodol. 67(2):301-320. doi:10.1111/j.1467-9868.2005.00503.x.</w:t>
      </w:r>
    </w:p>
    <w:p>
      <w:pPr>
        <w:spacing w:after="80" w:line="240" w:lineRule="auto"/>
        <w:ind w:left="0" w:firstLine="0"/>
      </w:pPr>
      <w:r>
        <w:rPr>
          <w:rFonts w:ascii="Times New Roman" w:hAnsi="Times New Roman" w:eastAsia="宋体" w:cs="Times New Roman"/>
          <w:sz w:val="21"/>
        </w:rPr>
        <w:t>Zou, J., Huss, M., Abid, A., Mohammadi, P., Torkamani, A., and Telenti, A. (2019). A primer on deep learning in genomics. Nat Genet. 51(1):12-18. doi:10.1038/s41588-018-0295-5. PMID:30478442.</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rPr>
          <w:rFonts w:ascii="Times New Roman" w:hAnsi="Times New Roman" w:eastAsia="宋体" w:cs="Times New Roman"/>
          <w:b/>
          <w:color w:val="0B2545"/>
          <w:sz w:val="26"/>
        </w:rPr>
        <w:t>Conflict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rPr>
          <w:rFonts w:ascii="Times New Roman" w:hAnsi="Times New Roman" w:eastAsia="宋体" w:cs="Times New Roman"/>
          <w:b/>
          <w:color w:val="0B2545"/>
          <w:sz w:val="26"/>
        </w:rPr>
        <w:t>Ethics Approval</w:t>
      </w:r>
    </w:p>
    <w:p>
      <w:pPr>
        <w:spacing w:after="120" w:line="240" w:lineRule="auto"/>
        <w:ind w:firstLine="0"/>
        <w:jc w:val="both"/>
      </w:pPr>
      <w:r>
        <w:rPr>
          <w:rFonts w:ascii="Times New Roman" w:hAnsi="Times New Roman" w:eastAsia="宋体" w:cs="Times New Roman"/>
          <w:b w:val="0"/>
          <w:sz w:val="22"/>
        </w:rPr>
        <w:t>Not applicable. This study used only publicly available, de-identified data from The Cancer Genome Atlas (TCGA-BRCA); no new human participants, animal subjects, or patient samples were involved.</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