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Supervised distribution-divergence-guided omics imaging and multi-omics fusion for breast cancer molecular subtyping and survival prediction</w:t>
      </w:r>
    </w:p>
    <w:p>
      <w:pPr>
        <w:spacing w:after="160"/>
        <w:jc w:val="center"/>
      </w:pPr>
      <w:r>
        <w:rPr>
          <w:rFonts w:ascii="Times New Roman" w:hAnsi="Times New Roman" w:eastAsia="宋体" w:cs="Times New Roman"/>
          <w:b/>
          <w:color w:val="1F4D78"/>
          <w:sz w:val="24"/>
        </w:rPr>
        <w:t>监督式分布散度引导的组学图像化与多组学融合用于乳腺癌分子分型及生存预测</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divergence（JSD；实现中简称 NSRE）评估每个特征的判别重要性，并将其编码为可解释的空间表示。所有特征筛选、标准化和模型拟合均在 5 折交叉验证训练折内完成；按 JSD/NSRE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四分类中，mRNA LogisticRegression 的 Accuracy 为 0.9628±0.0167、Macro-F1 为 0.9575±0.0199；CNV 最优 MLP 为 0.7213±0.0156；miRNA 最优 LogisticRegression 为 0.8410±0.0120。生存预测中，mRNA FullSizeCNN 的 C-index 为 0.7125±0.0303，CNV CoxPH 为 0.7109±0.0339，miRNA FullSizeCNN 为 0.6067±0.0703。多组学整合中，PAM50 的 Transformer 达到 Accuracy 0.9270±0.0132、Macro-F1 0.9288±0.0128；生存预测的三组学 Concat MLP 达到 C-index 0.7588±0.0492，CNN 晚期平均融合达到 ROC AUC 0.7591±0.0619。配对检验显示，上述最优融合均未较对应最优单组学形成统计显著优势（所有配对检验 p≥0.093）。可解释分析识别出 ESR1、TFF1、AGR3、FOXC1、MIA、FABP7、CCL19、MS4A1 等关键因子，富集于雌激素信号、细胞增殖调控、细胞分裂和上皮发育等通路。方案2功能类别遮盖分析在控制特征集合大小后，未能建立稳健的类别特异效应（masking analyses did not establish robust category-specific effects after controlling for feature-set size）。</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结论：监督式分布散度引导的组学空间表示框架能够将高维组学特征转换为适合全尺寸卷积建模的图像表示，并支持关键因子可视化；该表示的价值在于可解释性而非预测精度提升。mRNA 是 PAM50 分型重建的主要信号，生存预测更依赖多组学互补；当前整合策略的增益有限，尚需外部验证和更稳健的融合设计。</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divergence（JSD；实现中简称 NSRE）引导的组学图像化框架：先评估每个基因或探针对结局类别的区分能力，再按 JSD/NSRE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本文提出三个假设：（1）NSRE 排序比随机排序或平均表达排序更适合 PAM50 四分类和生存预测；（2）在小样本组学图像上，FullSizeCNN 能够提供与传统机器学习基线可比或互补的预测性能；（3）在统一交集样本上，多组学融合可较最优单组学带来生存预测上的稳健增益，但在 PAM50 中增益有限。</w:t>
      </w:r>
    </w:p>
    <w:p>
      <w:pPr>
        <w:spacing w:after="120" w:line="300" w:lineRule="auto"/>
        <w:ind w:firstLine="440"/>
        <w:jc w:val="both"/>
      </w:pPr>
      <w:r>
        <w:rPr>
          <w:rFonts w:ascii="Times New Roman" w:hAnsi="Times New Roman" w:eastAsia="宋体" w:cs="Times New Roman"/>
          <w:b w:val="0"/>
          <w:sz w:val="22"/>
        </w:rPr>
        <w:t>本文的贡献包括：提出 NSRE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JSD/NSRE</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divergence（JSD；实现中简称 NSRE）[44]。JSD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比较连续特征在不同类别间均值差异；L1/LASSO 通过线性支持向量机的稀疏系数进行嵌入式选择。三种方法分别从稳定性、线性判别和稀疏正则化角度降低维度。特征筛选算法组合方式见补充材料表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  min_w (1/2) ||Xw - y||² + λ ||w||₁</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接近最优时，优先选择计算效率更高、稳定性更好的特征数；最终特征数量与图像尺寸对应关系见补充材料表 S3。</w:t>
      </w:r>
    </w:p>
    <w:p>
      <w:pPr>
        <w:spacing w:after="120" w:line="300" w:lineRule="auto"/>
        <w:ind w:firstLine="440"/>
        <w:jc w:val="both"/>
      </w:pPr>
      <w:r>
        <w:rPr>
          <w:rFonts w:ascii="Times New Roman" w:hAnsi="Times New Roman" w:eastAsia="宋体" w:cs="Times New Roman"/>
          <w:b w:val="0"/>
          <w:sz w:val="22"/>
        </w:rPr>
        <w:t>需要说明的是，特征数量的选择与最终性能评估共用同一 5 折交叉验证，因此本文报告的 Accuracy、Macro-F1、ROC AUC 与 C-index 属于探索性交叉验证估计（exploratory CV estimates），可能存在对最优特征数量的选择偏倚。受限于样本量，本文未另行构造嵌套交叉验证或独立验证集；最终特征数量应视为便于后续统一建模与比较的工作性设定，而非经过严格无偏验证的超参数。</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JSD/NSRE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JSD/NSRE 降序，并按块平均 JSD/NSRE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NSRE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或生存风险。该结构参数较少，与图像尺寸解耦，适合当前小样本高维组学图像。</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NSRE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使用同一风险分数、生存时间与事件状态，通过 lifelines.utils.concordance_index 计算。</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S4–S23。</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样本的灰度表达图、NSRE 权重图和基因功能类别图。图像中心区域对应高 NSRE 特征，说明视觉上的中心区域直接编码了模型认为对结局判别更重要的基因。基因功能类别图以颜色标记基因功能类别，与 NSRE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NSRE importance map, and gene functional category map. B1-B3: one survival mRNA sample shown as a 15×15 grayscale expression map, NSRE importance map, and gene functional category map. Axes indicate pixel positions; high-NSRE features are placed centrally, and the functional category map aligns pixel-wise with the expression and NSRE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 与 saliency 单图见补充材料图 S3–S7。</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nsre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NSRE-based feature-mining visualization. A-C: grayscale expression, NSRE importance, and functional category maps; D-F: SHAP importance, CNN saliency, and functional-category/saliency overlay maps. Axes indicate pixel positions; the NSRE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NSRE 全局排序图像不同，方案2先按基因功能类别分块，再在块内按 NSRE 降序，并以块平均重要性由中心向外螺旋填充，因此同一颜色区域对应同一功能模块，中心区域对应高 NSRE 模块。该设计使图像像素邻接具有更明确的生物学含义，并支持对连续功能区域进行模块级遮挡。</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类特征数量较多，下降幅度同时受模块大小影响；mRNA 结果见补充材料表 S14，CNV/miRNA 结果见补充材料表 S15。</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S16，配对检验见补充材料表 S17，Other 类二次富集见补充材料表 S18，共识基因重叠见补充材料表 S19。</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NSRE 排序特征中与经典 PAM50 50 基因重叠的 21 个基因剔除后，LogisticRegression 的 5 折 Accuracy 保持不变（0.9628±0.0138），MLP 与 FullSizeCNN 仅有轻微波动；而仅保留这 21 个 PAM50 基因时，LogisticRegression Accuracy 降至 0.9220±0.0076。该结果表明，NSRE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NSRE 图像化的优势在于提供可解释性，而不是仅仅追求最高预测精度。传统 CNN 将基因排列成任意二维结构，像素邻接关系可能缺乏生物学意义；本研究通过把 NSRE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NSRE/JSD 螺旋排序与 20 次随机基因排列进行了对照。结果表明，NSRE 螺旋排序并未优于随机排列：PAM50 Accuracy 的 NSRE 结果为 0.9316，而 20 次随机排列的均值为 0.9267（范围 0.9112–0.9400，经验 p=0.25）；Survival C-index 的 NSRE 结果为 0.7125，随机排列均值为 0.7055（经验 p=0.35）。均值表达排序在 PAM50 Accuracy 上与 NSRE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 PAM50 任务的前 500 个 JSD 高重要性基因中均未显著富集（mTORC1 的 Fisher p=0.063 为边缘结果，其余 p≥0.32），单变量 Cox 分析也未发现任一通路评分与总生存显著相关（DNA repair HR 0.789、p=0.104 为最强但未达显著）。通路评分在 PAM50 亚型间高度差异（Kruskal-Wallis p&lt;0.001），但这在表达定义亚型的背景下是预期现象。因此，在当前的 bulk 表达、精选标志基因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JSD/NSRE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单中心回顾性数据，缺少独立外部队列；生存事件数量较少，类别不平衡；螺旋位置仍然不是真实生物学空间；复杂模型可能过拟合。统计推断方面，配对检验仅基于 5 折（n=5）的折级分数，统计功效有限，且未进行多重比较校正，因此边缘显著结果（如生存 ROC AUC 的配对 t 检验 p=0.093）需要谨慎解释；后续应采用 repeated CV、bootstrap 置信区间或折级效应量（如 Cohen's d）来增强证据强度。此外，特征数量选择与最终评估共用同一交叉验证，存在选择偏倚，理想情况下应使用嵌套交叉验证或独立验证集。</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NSRE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JSD/NSRE 引导的组学图像化与多组学融合框架，能够同时支持乳腺癌 PAM50 四分类和总生存预测。mRNA 单组学在分子分型重建（subtype reconstruction）中表现最优，且其判别信息并非主要依赖经典 PAM50 基因面板；生存预测更依赖多组学互补。FullSizeCNN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本研究的处理数据、特征选择与建模代码、NSRE/JSD 图像、结果表、补充材料及可复现说明已整理为代码与数据仓库并公开托管于 GitHub（repository: NSRE_omics_imaging_breast_cancer），仓库链接见正文末尾的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availability：https://github.com/381521602/NSRE_omics_imaging_breast_cancer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