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Interpretable distribution-divergence-guided omics imaging and multi-omics integration for breast cancer molecular subtype reconstruction and survival risk modeling</w:t>
      </w:r>
    </w:p>
    <w:p>
      <w:pPr>
        <w:spacing w:after="160"/>
        <w:jc w:val="center"/>
      </w:pPr>
      <w:r>
        <w:rPr>
          <w:rFonts w:ascii="Times New Roman" w:hAnsi="Times New Roman" w:eastAsia="宋体" w:cs="Times New Roman"/>
          <w:b/>
          <w:color w:val="1F4D78"/>
          <w:sz w:val="24"/>
        </w:rPr>
        <w:t>可解释的监督式分布散度引导组学图像化与多组学整合用于乳腺癌分子亚型重建和生存风险建模</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divergence（JSD）评估每个特征的判别重要性，并将其编码为可解释的空间表示。固定特征数配置下，特征提取、标准化和模型拟合均在 5 折交叉验证训练折内完成；主分析的特征数选择与最终评估共用同一交叉验证，因此作为探索性估计，并以 nested repeated CV 进行敏感性分析。按 JSD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四分类的探索性 5 折交叉验证中，mRNA LogisticRegression 的 Accuracy 为 0.9628±0.0167、Macro-F1 为 0.9575±0.0199；CNV 最优 MLP 为 0.7213±0.0156；miRNA 最优 LogisticRegression 为 0.8410±0.0120。无泄漏 nested repeated CV 中，mRNA PAM50 的 LogisticRegression、Dense 和 FullSizeCNN Accuracy 分别为 0.8392、0.8449 和 0.8510，说明性能对特征筛选与建模流程敏感。生存风险建模中，mRNA FullSizeCNN 的 C-index 为 0.7125±0.0303，CNV CoxPH 为 0.7109±0.0339，miRNA FullSizeCNN 为 0.6067±0.0703。多组学整合中，PAM50 的 Transformer 达到 Accuracy 0.9270±0.0132、Macro-F1 0.9288±0.0128；生存风险建模的三组学 Concat MLP 达到 C-index 0.7588±0.0492，CNN 晚期平均融合达到 ROC AUC 0.7591±0.0619。配对检验未提供存在统计可检测差异的证据（所有 p≥0.093）。Dense 等价基线与 FullSizeCNN 表现相当或更优，而 JSD 引导的螺旋排序并未显著优于随机排列，说明图像化的主要价值在于可解释性而非预测增益。可解释分析识别出 ESR1、TFF1、AGR3、FOXC1、MIA、FABP7、CCL19、MS4A1 等关键因子，富集于雌激素信号、细胞增殖调控、细胞分裂和上皮发育等通路。方案2功能类别遮盖分析在控制特征集合大小后，未能建立稳健的类别特异效应。</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结论：监督式分布散度引导的组学空间表示框架能够把高维组学特征转换为适合全尺寸卷积建模的可解释图像坐标，并支持关键因子可视化。mRNA 是 PAM50 亚型重建的主要信号；生存风险建模显示多组学融合具有数值提升但未达到统计显著，提示存在需要独立验证的潜在互补信息。该表示的主要价值是可解释性而非由人工二维邻接带来的预测精度提升。</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divergence；全尺寸卷积；PAM50；生存风险建模</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divergence（JSD）引导的组学图像化框架：先评估每个基因或探针对结局类别的区分能力，再按 JSD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本文提出三个研究问题：（1）检验 JSD 引导的空间排序是否相较随机或表达量排序产生可检测的预测增益，并评估其主要价值是否体现于可解释性而非性能提升；（2）检验 FullSizeCNN 在小样本组学任务中能否达到传统机器学习的竞争性性能，并通过 Dense 等价基线区分图像空间结构与原始特征值本身的贡献；（3）检验统一样本集上的多组学融合是否提供相对于最优单组学的可重复增益。</w:t>
      </w:r>
    </w:p>
    <w:p>
      <w:pPr>
        <w:spacing w:after="120" w:line="300" w:lineRule="auto"/>
        <w:ind w:firstLine="440"/>
        <w:jc w:val="both"/>
      </w:pPr>
      <w:r>
        <w:rPr>
          <w:rFonts w:ascii="Times New Roman" w:hAnsi="Times New Roman" w:eastAsia="宋体" w:cs="Times New Roman"/>
          <w:b w:val="0"/>
          <w:sz w:val="22"/>
        </w:rPr>
        <w:t>本文的贡献包括：提出 JSD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分类和生存风险建模的贡献。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本部分仅给出核心方法与参数。整体技术路线见图 1，样本量概况见表 1；具体样本清单见补充材料表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S15；无泄漏嵌套交叉验证见表 S24 与图 S16，严格 PAM50 排除见表 S25，FullSizeCNN-Cox 见表 S26，统计效应量见表 S27，已有方法比较见表 S28，METABRIC 外部验证见表 S29，基因互作分析见 S22 与图 S17，社区重排对比见表 S30。</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evaluation），因此本文所称“生存风险建模”并不等同于严格的风险率建模。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 嵌入式选择使用线性支持向量机 LinearSVC(penalty='l1', dual=False, C=0.1, max_iter=5000) 的稀疏系数。三种方法分别从稳定性、线性判别和稀疏正则化角度降低维度。特征筛选算法组合方式见补充材料表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 JSD 图像尺寸见表 2，更详细对应关系见补充材料表 S3。</w:t>
      </w:r>
    </w:p>
    <w:p>
      <w:pPr>
        <w:spacing w:after="120" w:line="300" w:lineRule="auto"/>
        <w:ind w:firstLine="440"/>
        <w:jc w:val="both"/>
      </w:pPr>
      <w:r>
        <w:rPr>
          <w:rFonts w:ascii="Times New Roman" w:hAnsi="Times New Roman" w:eastAsia="宋体" w:cs="Times New Roman"/>
          <w:b w:val="0"/>
          <w:sz w:val="22"/>
        </w:rPr>
        <w:t>需要说明的是，主分析中特征数量的选择与最终性能评估共用同一 5 折交叉验证，因此本文报告的 Accuracy、Macro-F1、ROC AUC 与 C-index 属于探索性交叉验证估计（exploratory CV estimates），可能存在对最优特征数量的选择偏倚。为评估该偏倚的大小，本文对 mRNA PAM50 关键模型增加了无泄漏 nested repeated CV：外层 5-fold × 5 repeats，内层 3-fold 选择特征数（200/400），特征筛选和图像排序均仅在训练折内完成；完整结果见补充材料表 S24。</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 降序，并按块平均 JSD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MLP；生存风险建模另纳入 CoxPH。LogisticRegression 使用 L2 默认正则并增加最大迭代；RandomForest 使用 200 棵树；GradientBoosting 使用 100 轮；SVC 使用线性核；KNN 使用 k=5；MLP 采用 128-64 隐层和 Dropout。CoxPH 作为传统时间到事件比较模型，使用单独定义的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使用交叉熵损失，输出四类概率；生存风险建模使用二元交叉熵损失，输出死亡风险概率。训练前仅在训练折上估计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维向量。单组学任务直接经 64 维全连接、ReLU 和 Dropout 后输出分类 logits 或生存风险。多组学整合时，三个组学各自的 32 维描述子先拼接为 96 维，再经门控注意力按 softmax 权重加权求和为 32 维，最后经 32→64 全连接后输出；也可采用概率晚期平均融合。结构如图 2 所示。需要指出，该全尺寸卷积核在数学上等价于展平后的全连接投影，因此本文将其视为保留图像坐标接口的 full-field convolutional network，而不是滑动/局部卷积特征提取器；其图像接口主要用于后续归因可视化，而非依赖二维局部感受野获得预测增益。</w:t>
      </w:r>
    </w:p>
    <w:p>
      <w:pPr>
        <w:keepNext/>
        <w:spacing w:before="100" w:after="20"/>
        <w:jc w:val="center"/>
      </w:pPr>
      <w:r>
        <w:drawing>
          <wp:inline xmlns:a="http://schemas.openxmlformats.org/drawingml/2006/main" xmlns:pic="http://schemas.openxmlformats.org/drawingml/2006/picture">
            <wp:extent cx="5852160" cy="2300078"/>
            <wp:docPr id="2" name="Picture 2"/>
            <wp:cNvGraphicFramePr>
              <a:graphicFrameLocks noChangeAspect="1"/>
            </wp:cNvGraphicFramePr>
            <a:graphic>
              <a:graphicData uri="http://schemas.openxmlformats.org/drawingml/2006/picture">
                <pic:pic>
                  <pic:nvPicPr>
                    <pic:cNvPr id="0" name="fig2_2d_detail.png"/>
                    <pic:cNvPicPr/>
                  </pic:nvPicPr>
                  <pic:blipFill>
                    <a:blip r:embed="rId11"/>
                    <a:stretch>
                      <a:fillRect/>
                    </a:stretch>
                  </pic:blipFill>
                  <pic:spPr>
                    <a:xfrm>
                      <a:off x="0" y="0"/>
                      <a:ext cx="5852160" cy="2300078"/>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Omics image representation and the multi-omics FullSizeCNN. Three JSD-ordered grayscale maps (mRNA 20×20, CNV 8×8, miRNA 25×25) are each processed by a full-size H×W convolution with 32 filters into 32 global descriptors. The three descriptors are concatenated (96), reweighted by a softmax gated attention (32), and passed through a 32→64 MLP head, which feeds a four-class PAM50 head and a survival-risk head. Survival uses image sizes 15×15 / 13×13 / 25×25. High-JSD features are placed centrally; the full-size kernel is mathematically equivalent to a flattened linear projection and mainly serves the interpretability interface.</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Macro-F1；生存风险建模报告 ROC AUC 和 Cox C-index。ROC AUC 以模型输出的死亡风险概率/风险分数作为连续预测分数计算；C-index 使用取负后的风险分数、生存时间与事件状态，通过 lifelines.utils.concordance_index 计算，风险分数越大代表死亡风险越高。</w:t>
      </w:r>
    </w:p>
    <w:p>
      <w:pPr>
        <w:pStyle w:val="Heading2"/>
        <w:spacing w:before="240" w:after="100"/>
        <w:jc w:val="left"/>
      </w:pPr>
      <w:r>
        <w:rPr>
          <w:rFonts w:ascii="Times New Roman" w:hAnsi="Times New Roman" w:eastAsia="微软雅黑" w:cs="Times New Roman"/>
          <w:b/>
          <w:color w:val="2E74B5"/>
          <w:sz w:val="26"/>
        </w:rPr>
        <w:t>2.7 基因互作与网络重排分析</w:t>
      </w:r>
    </w:p>
    <w:p>
      <w:pPr>
        <w:spacing w:after="120" w:line="300" w:lineRule="auto"/>
        <w:ind w:firstLine="440"/>
        <w:jc w:val="both"/>
      </w:pPr>
      <w:r>
        <w:rPr>
          <w:rFonts w:ascii="Times New Roman" w:hAnsi="Times New Roman" w:eastAsia="宋体" w:cs="Times New Roman"/>
          <w:b w:val="0"/>
          <w:sz w:val="22"/>
        </w:rPr>
        <w:t>为考察基因互作关系是否能为图像化提供更贴近生物学的空间邻接，在 PAM50 交集样本上构建三类网络：mRNA 共表达网络、consensus-gene STRING PPI 网络，以及 miRNA–mRNA 负相关和 CNV–mRNA 相关网络。mRNA 共表达网络基于最终特征的 Pearson 相关，边阈值为 |r|≥0.75；该阈值较保守，因此网络社区较稀疏，结果应作为高置信边描述而非最终生物学模块定义。PPI 使用 STRING 数据库的 high-confidence 边；跨组学相关使用 Spearman 相关并保留最强候选边。随后按共表达社区重排 mRNA 特征，生成与原始 JSD 螺旋排序相同的 20×20 灰度图，并用 FullSizeCNN 进行 5 折交叉验证比较。</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S4–S30。</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样本的灰度表达图、JSD 权重图和基因功能类别图。图像中心区域对应高 JSD 特征，说明视觉中心区域编码了基于训练数据类别分布差异获得的 JSD 判别重要性；只有 SHAP/saliency 才表示模型归因重要性。基因功能类别图以颜色标记基因功能类别，与 JSD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JSD importance map, and gene functional category map. B1-B3: one survival mRNA sample shown as a 15×15 grayscale expression map, JSD importance map, and gene functional category map. Axes indicate pixel positions; high-JSD features are placed centrally, and the functional category map aligns pixel-wise with the expression and JSD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with mean±SD.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最弱；生存风险建模中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3365333"/>
            <wp:docPr id="4" name="Picture 4"/>
            <wp:cNvGraphicFramePr>
              <a:graphicFrameLocks noChangeAspect="1"/>
            </wp:cNvGraphicFramePr>
            <a:graphic>
              <a:graphicData uri="http://schemas.openxmlformats.org/drawingml/2006/picture">
                <pic:pic>
                  <pic:nvPicPr>
                    <pic:cNvPr id="0" name="fig3_single_omics_v3.png"/>
                    <pic:cNvPicPr/>
                  </pic:nvPicPr>
                  <pic:blipFill>
                    <a:blip r:embed="rId13"/>
                    <a:stretch>
                      <a:fillRect/>
                    </a:stretch>
                  </pic:blipFill>
                  <pic:spPr>
                    <a:xfrm>
                      <a:off x="0" y="0"/>
                      <a:ext cx="5852160" cy="336533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A and B: PAM50 Accuracy and Macro-F1; C and D: survival ROC AUC and C-index. Bars show 5-fold cross-validation mean±SD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shows the triple-omics fusion methods;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生存风险建模中，CNN 晚期平均融合的 ROC AUC 为 0.7591±0.0619，三组学 Concat MLP 的 C-index 为 0.7588±0.0492；两者分别高于交集最优单组学 mRNA MLP（ROC AUC 0.7258±0.0690）和 mRNA FullSizeCNN（C-index 0.7448±0.0705），但统计检验显示提升未达到显著水平（补充表 S10）。在相同图像 backbone 下使用 Cox partial-likelihood 的 FullSizeCNN-Cox 得到 C-index 0.6818±0.0401，低于 BCE-based FullSizeCNN，进一步说明当前图像表示在严格时间到事件建模下未显示明确优势。</w:t>
      </w:r>
    </w:p>
    <w:p>
      <w:pPr>
        <w:keepNext/>
        <w:spacing w:before="100" w:after="20"/>
        <w:jc w:val="center"/>
      </w:pPr>
      <w:r>
        <w:drawing>
          <wp:inline xmlns:a="http://schemas.openxmlformats.org/drawingml/2006/main" xmlns:pic="http://schemas.openxmlformats.org/drawingml/2006/picture">
            <wp:extent cx="5852160" cy="3587313"/>
            <wp:docPr id="5" name="Picture 5"/>
            <wp:cNvGraphicFramePr>
              <a:graphicFrameLocks noChangeAspect="1"/>
            </wp:cNvGraphicFramePr>
            <a:graphic>
              <a:graphicData uri="http://schemas.openxmlformats.org/drawingml/2006/picture">
                <pic:pic>
                  <pic:nvPicPr>
                    <pic:cNvPr id="0" name="fig4_triple_integration_v2.png"/>
                    <pic:cNvPicPr/>
                  </pic:nvPicPr>
                  <pic:blipFill>
                    <a:blip r:embed="rId14"/>
                    <a:stretch>
                      <a:fillRect/>
                    </a:stretch>
                  </pic:blipFill>
                  <pic:spPr>
                    <a:xfrm>
                      <a:off x="0" y="0"/>
                      <a:ext cx="5852160" cy="358731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results. A and B: PAM50 Accuracy and Macro-F1; C and D: survival ROC AUC and C-index. Error bars represent 5-fold cross-validation SD.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0.8438。生存风险建模中，mRNA+CNV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未在当前小样本上显示出稳定提升。Figure 6 汇总了这些复杂方法的 PAM50 与生存结果。</w:t>
      </w:r>
    </w:p>
    <w:p>
      <w:pPr>
        <w:keepNext/>
        <w:spacing w:before="100" w:after="20"/>
        <w:jc w:val="center"/>
      </w:pPr>
      <w:r>
        <w:drawing>
          <wp:inline xmlns:a="http://schemas.openxmlformats.org/drawingml/2006/main" xmlns:pic="http://schemas.openxmlformats.org/drawingml/2006/picture">
            <wp:extent cx="5852160" cy="3749040"/>
            <wp:docPr id="6" name="Picture 6"/>
            <wp:cNvGraphicFramePr>
              <a:graphicFrameLocks noChangeAspect="1"/>
            </wp:cNvGraphicFramePr>
            <a:graphic>
              <a:graphicData uri="http://schemas.openxmlformats.org/drawingml/2006/picture">
                <pic:pic>
                  <pic:nvPicPr>
                    <pic:cNvPr id="0" name="fig5_advanced_methods_v2.png"/>
                    <pic:cNvPicPr/>
                  </pic:nvPicPr>
                  <pic:blipFill>
                    <a:blip r:embed="rId15"/>
                    <a:stretch>
                      <a:fillRect/>
                    </a:stretch>
                  </pic:blipFill>
                  <pic:spPr>
                    <a:xfrm>
                      <a:off x="0" y="0"/>
                      <a:ext cx="5852160" cy="374904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methods. A and B: PAM50 Accuracy and Macro-F1; C and D: survival ROC AUC and C-index. Methods include Multi-task, DeepSurv, Transformer, low-rank bilinear fusion, and GNN. Error bars represent 5-fold cross-validation SD.</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GZMB。通路富集提示雌激素信号、细胞增殖调控、细胞分裂和上皮发育等生物学过程；SHAP、saliency、consensus、survival Cox 与 pathway enrichment 图分别见补充材料图 S5–S9。</w:t>
      </w:r>
    </w:p>
    <w:p>
      <w:pPr>
        <w:spacing w:after="120" w:line="300" w:lineRule="auto"/>
        <w:ind w:firstLine="440"/>
        <w:jc w:val="both"/>
      </w:pPr>
      <w:r>
        <w:rPr>
          <w:rFonts w:ascii="Times New Roman" w:hAnsi="Times New Roman" w:eastAsia="宋体" w:cs="Times New Roman"/>
          <w:b w:val="0"/>
          <w:sz w:val="22"/>
        </w:rPr>
        <w:t>为进一步说明 JSD 图像化如何把表达值、判别重要性和功能注释统一到同一像素坐标系，Figure 7 将同一 mRNA 样本的表达灰度图（A）、JSD 重要性图（B）和功能类别图（C）并列，并将 SHAP 重要性（D）、CNN saliency（E）及功能类别/saliency 叠加图（F）映射回相同坐标。这样，模型归因和关键因子能够直接定位到对应的基因像素，而不只是在表格层面输出一个基因列表。</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jsd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JSD-based feature-mining visualization. A-C: grayscale expression, JSD importance, and functional category maps; D-F: SHAP importance, CNN saliency, and functional-category/saliency overlay maps. Axes indicate pixel positions; the JSD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JSD 全局排序图像不同，方案2先按基因功能类别分块，再在块内按 JSD 降序，并以块平均重要性由中心向外螺旋填充，因此同一颜色区域对应同一功能模块，中心区域对应高 JSD 模块。该设计使图像像素邻接具有更明确的生物学含义，并支持对连续功能区域进行模块级遮挡；遮盖流程如图 8 所示。</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类特征数量较多，下降幅度同时受模块大小影响；CNV 与 miRNA 的遮盖结果见图 9，mRNA 结果见补充材料表 S16，CNV/miRNA 结果见补充材料表 S17。</w:t>
      </w:r>
    </w:p>
    <w:p>
      <w:pPr>
        <w:keepNext/>
        <w:spacing w:before="100" w:after="20"/>
        <w:jc w:val="center"/>
      </w:pPr>
      <w:r>
        <w:drawing>
          <wp:inline xmlns:a="http://schemas.openxmlformats.org/drawingml/2006/main" xmlns:pic="http://schemas.openxmlformats.org/drawingml/2006/picture">
            <wp:extent cx="5852160" cy="3566160"/>
            <wp:docPr id="9" name="Picture 9"/>
            <wp:cNvGraphicFramePr>
              <a:graphicFrameLocks noChangeAspect="1"/>
            </wp:cNvGraphicFramePr>
            <a:graphic>
              <a:graphicData uri="http://schemas.openxmlformats.org/drawingml/2006/picture">
                <pic:pic>
                  <pic:nvPicPr>
                    <pic:cNvPr id="0" name="fig_other_omics_category_masking_v3.png"/>
                    <pic:cNvPicPr/>
                  </pic:nvPicPr>
                  <pic:blipFill>
                    <a:blip r:embed="rId18"/>
                    <a:stretch>
                      <a:fillRect/>
                    </a:stretch>
                  </pic:blipFill>
                  <pic:spPr>
                    <a:xfrm>
                      <a:off x="0" y="0"/>
                      <a:ext cx="5852160" cy="356616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CNV and miRNA functional-category masking results. A-D: CNV PAM50, CNV Survival, miRNA PAM50, and miRNA Survival Accuracy or C-index. Error bars represent 5-fold cross-validation SD.</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S18，配对检验见补充材料表 S19，Other 类二次富集见补充材料表 S20，共识基因重叠见补充材料表 S21。</w:t>
      </w:r>
    </w:p>
    <w:p>
      <w:pPr>
        <w:pStyle w:val="Heading2"/>
        <w:spacing w:before="240" w:after="100"/>
        <w:jc w:val="left"/>
      </w:pPr>
      <w:r>
        <w:rPr>
          <w:rFonts w:ascii="Times New Roman" w:hAnsi="Times New Roman" w:eastAsia="微软雅黑" w:cs="Times New Roman"/>
          <w:b/>
          <w:color w:val="2E74B5"/>
          <w:sz w:val="26"/>
        </w:rPr>
        <w:t>3.8 基因互作与网络重排分析</w:t>
      </w:r>
    </w:p>
    <w:p>
      <w:pPr>
        <w:spacing w:after="120" w:line="300" w:lineRule="auto"/>
        <w:ind w:firstLine="440"/>
        <w:jc w:val="both"/>
      </w:pPr>
      <w:r>
        <w:rPr>
          <w:rFonts w:ascii="Times New Roman" w:hAnsi="Times New Roman" w:eastAsia="宋体" w:cs="Times New Roman"/>
          <w:b w:val="0"/>
          <w:sz w:val="22"/>
        </w:rPr>
        <w:t>mRNA consensus genes 的 STRING PPI 网络主要涉及 ESR1、PGR、MYBL2、BIRC5 和 E2F8，提示激素信号与细胞增殖/有丝分裂程序的耦合；由于仅保留高置信边，PPI 结果应视为探索性证据。mRNA 共表达网络在较高阈值下形成较稀疏的社区结构；miRNA–mRNA 与 CNV–mRNA 分析识别出若干候选跨组学调控边。按共表达社区重排 mRNA 图像后，FullSizeCNN 的 Accuracy 为 0.8931，低于原始 JSD 螺旋排序，说明生物邻接关系能够提供可解释性上下文，但当前未带来预测性能提升；完整网络文件与总览图见补充材料 S22、图 S17，社区重排对比见表 S30。</w:t>
      </w:r>
    </w:p>
    <w:p>
      <w:pPr>
        <w:keepNext/>
        <w:spacing w:before="100" w:after="20"/>
        <w:jc w:val="center"/>
      </w:pPr>
      <w:r>
        <w:drawing>
          <wp:inline xmlns:a="http://schemas.openxmlformats.org/drawingml/2006/main" xmlns:pic="http://schemas.openxmlformats.org/drawingml/2006/picture">
            <wp:extent cx="5852160" cy="4296022"/>
            <wp:docPr id="10" name="Picture 10"/>
            <wp:cNvGraphicFramePr>
              <a:graphicFrameLocks noChangeAspect="1"/>
            </wp:cNvGraphicFramePr>
            <a:graphic>
              <a:graphicData uri="http://schemas.openxmlformats.org/drawingml/2006/picture">
                <pic:pic>
                  <pic:nvPicPr>
                    <pic:cNvPr id="0" name="fig_gene_interaction_overview.png"/>
                    <pic:cNvPicPr/>
                  </pic:nvPicPr>
                  <pic:blipFill>
                    <a:blip r:embed="rId19"/>
                    <a:stretch>
                      <a:fillRect/>
                    </a:stretch>
                  </pic:blipFill>
                  <pic:spPr>
                    <a:xfrm>
                      <a:off x="0" y="0"/>
                      <a:ext cx="5852160" cy="429602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10. Gene interaction analysis overview. A: consensus-gene STRING PPI; B: mRNA co-expression communities; C: top miRNA-mRNA negative correlations; D: top CNV-mRNA correlations. The community-informed ordering is compared with the JSD spiral ordering in Supplementary Table S30.</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单独预测能力有限，但在生存风险建模中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JSD 排序特征中与经典 PAM50 50 基因重叠的 21 个基因剔除后，LogisticRegression 的 5 折 Accuracy 保持不变（0.9628±0.0138），MLP 与 FullSizeCNN 仅有轻微波动；而仅保留这 21 个 PAM50 基因时，LogisticRegression Accuracy 降至 0.9220±0.0076。该结果表明，JSD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已具有强判别能力，其他组学在高维小样本条件下容易引入噪声。生存风险建模中，简单拼接 MLP 和 CNN 晚期平均融合的均值优于单组学，说明多组学在生存风险建模中的互补性更强；但配对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JSD 图像化的优势在于提供可解释性，而不是仅仅追求最高预测精度。传统 CNN 将基因排列成任意二维结构，像素邻接关系可能缺乏生物学意义；本研究通过把 JSD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0.8230），而生存风险建模中两者互有高低且差异未超过交叉验证标准差（mRNA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JSD 螺旋排序与 20 次随机基因排列进行了对照。结果表明，JSD 螺旋排序并未优于随机排列：PAM50 Accuracy 的 JSD 结果为 0.9316，而 20 次随机排列的均值为 0.9267（范围 0.9112–0.9400，经验 p=0.25）；Survival C-index 的 JSD 结果为 0.7125，随机排列均值为 0.7055（经验 p=0.35）。均值表达排序在 PAM50 Accuracy 上与 JSD 完全一致（0.9316），进一步说明二维像素位置本身几乎不携带预测信息。据此，本文将组学图像化明确限定为一种“可解释的空间表示”，而不是能提升分类或生存风险排序精度的排序方法。</w:t>
      </w:r>
    </w:p>
    <w:p>
      <w:pPr>
        <w:spacing w:after="120" w:line="300" w:lineRule="auto"/>
        <w:ind w:firstLine="440"/>
        <w:jc w:val="both"/>
      </w:pPr>
      <w:r>
        <w:rPr>
          <w:rFonts w:ascii="Times New Roman" w:hAnsi="Times New Roman" w:eastAsia="宋体" w:cs="Times New Roman"/>
          <w:b w:val="0"/>
          <w:sz w:val="22"/>
        </w:rPr>
        <w:t>为控制特征数量选择与最终评估共用同一交叉验证可能带来的选择偏倚，本研究进一步在 mRNA PAM50 上进行了无泄漏嵌套交叉验证：外层 5-fold × 5 repeats，内层 3-fold 选择特征数（200/400），特征筛选采用 V_L1，并在所选特征上按 JSD 排序生成 FullSizeCNN 图像。结果显示，LogisticRegression 的 Accuracy 为 0.8392±0.0288，FullSizeCNN 为 0.8510±0.0282，Dense 等价基线为 0.8449±0.0326；三者均低于正文基于最终 400 特征的结果，且 FullSizeCNN 与 Dense 的差异未超过交叉验证标准差。该差异可能同时来自特征数选择和特征筛选流程的改变，而非单一的选择偏倚，因此不能把 0.9628 与 0.8392 的落差完全归因于原主结果的乐观偏差。这再次表明，二维空间布局本身并未提供稳定的预测增益，正文结果应理解为基于训练折内预选特征的 exploratory CV estimate；完整结果见补充材料表 S24–S26。</w:t>
      </w:r>
    </w:p>
    <w:p>
      <w:pPr>
        <w:spacing w:after="120" w:line="300" w:lineRule="auto"/>
        <w:ind w:firstLine="440"/>
        <w:jc w:val="both"/>
      </w:pPr>
      <w:r>
        <w:rPr>
          <w:rFonts w:ascii="Times New Roman" w:hAnsi="Times New Roman" w:eastAsia="宋体" w:cs="Times New Roman"/>
          <w:b w:val="0"/>
          <w:sz w:val="22"/>
        </w:rPr>
        <w:t>为区分死亡状态分类与严格时间到事件建模，本研究进一步将 FullSizeCNN 输出层替换为 Cox partial-likelihood objective，得到 FullSizeCNN-Cox 的 C-index 为 0.6818±0.0401，低于 BCE-based FullSizeCNN 的 0.7125±0.0303。这表明当前图像表示在严格删失感知生存建模下仍保留一定风险排序信息，但未显示出相对于传统时间到事件模型的明确优势；相关结果见补充材料表 S26。</w:t>
      </w:r>
    </w:p>
    <w:p>
      <w:pPr>
        <w:spacing w:after="120" w:line="300" w:lineRule="auto"/>
        <w:ind w:firstLine="440"/>
        <w:jc w:val="both"/>
      </w:pPr>
      <w:r>
        <w:rPr>
          <w:rFonts w:ascii="Times New Roman" w:hAnsi="Times New Roman" w:eastAsia="宋体" w:cs="Times New Roman"/>
          <w:b w:val="0"/>
          <w:sz w:val="22"/>
        </w:rPr>
        <w:t>基因互作分析进一步显示，consensus genes 主要富集于激素信号、增殖与有丝分裂相关的 STRING 互作网络；跨组学分析也识别出若干 miRNA–mRNA 负相关及 CNV–mRNA 相关候选边。然而，按共表达社区重排 mRNA 图像后，FullSizeCNN 的 Accuracy 为 0.8931，并未超过原始 JSD 螺旋排序，说明生物邻接关系能够丰富可解释性，但尚未证明其能够稳定提升当前全尺寸卷积模型的预测性能。</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亚型及生存风险的关系。结果显示，这些通路在前 500 个 JSD 高重要性基因中均未达到名义显著性富集（Fisher p 经 BH-FDR 校正后均不显著），单变量 Cox 分析也未发现任一通路评分与总生存显著相关。通路评分在 PAM50 亚型间高度差异（Kruskal-Wallis p&lt;0.001），但这在表达定义亚型的背景下是预期现象。因此，在当前的 bulk 表达和紧凑型标志基因签名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局限包括：主要发现基于 TCGA-BRCA 单一回顾性队列；虽然已在 METABRIC 独立队列中进行 mRNA/CNV 单组学外部验证，但尚缺少同时包含 mRNA、CNV 和 miRNA 的完整多组学外部队列。生存事件数量较少，类别不平衡；螺旋位置仍然不是真实生物学空间；复杂模型可能过拟合。统计推断方面，配对检验仅基于 5 折（n=5）的折级分数，统计功效有限，且未进行多重比较校正，因此 non-significant numerical differences（如生存 ROC AUC 的配对 t 检验 p=0.093）不应被解释为“两者无差异”；后续应采用 repeated CV、bootstrap 置信区间或折级效应量（如 Cohen's d）来增强证据强度。此外，主分析的特征数量选择与最终评估共用同一交叉验证，存在选择偏倚；虽然已对 mRNA PAM50 任务进行了 nested repeated-CV 敏感性分析，但主要多组学融合分析尚未在 nested CV 下全面重新评估，独立外部验证仍然必要。</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JSD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 引导的组学图像化与多组学融合框架，能够同时支持乳腺癌 PAM50 亚型重建和生存风险排序评估。mRNA 单组学在亚型重建中表现最优，且其判别信息并非主要依赖经典 PAM50 基因面板；多组学融合在生存风险建模中表现出数值提升但未达到统计显著，提示存在需要独立验证的潜在互补信息。FullSizeCNN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Early access.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本研究的处理数据、特征选择与建模代码、JSD 图像、结果表、补充材料及可复现说明已整理为代码与数据仓库并公开托管于 GitHub（repository: Supervised_distribution_divergence_omics_imaging_breast_cancer），仓库链接见正文末尾的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availability：https://github.com/381521602/Supervised_distribution_divergence_omics_imaging_breast_cancer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