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B83EDA" w:rsidP="001C16CC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="000E37EB" w:rsidRPr="00196170">
              <w:rPr>
                <w:rStyle w:val="a3"/>
                <w:noProof/>
              </w:rPr>
              <w:t>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Постановка задачи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_Toc536523963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4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="000E37EB" w:rsidRPr="00196170">
              <w:rPr>
                <w:rStyle w:val="a3"/>
                <w:noProof/>
              </w:rPr>
              <w:t>3.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пользователя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_Toc536523964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5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="000E37EB" w:rsidRPr="00196170">
              <w:rPr>
                <w:rStyle w:val="a3"/>
                <w:noProof/>
              </w:rPr>
              <w:t>4.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Руководство программиста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_Toc536523965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="000E37EB" w:rsidRPr="00196170">
              <w:rPr>
                <w:rStyle w:val="a3"/>
                <w:noProof/>
              </w:rPr>
              <w:t>4.1.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структуры программы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_Toc536523966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="000E37EB" w:rsidRPr="00196170">
              <w:rPr>
                <w:rStyle w:val="a3"/>
                <w:noProof/>
              </w:rPr>
              <w:t>4.2.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Описание алгоритмов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_Toc536523967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6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="000E37EB" w:rsidRPr="00196170">
              <w:rPr>
                <w:rStyle w:val="a3"/>
                <w:noProof/>
              </w:rPr>
              <w:t>5.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Заключение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_Toc536523968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8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2C692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="000E37EB" w:rsidRPr="00196170">
              <w:rPr>
                <w:rStyle w:val="a3"/>
                <w:noProof/>
              </w:rPr>
              <w:t>6.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Литература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_Toc536523969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9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2C6928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0" w:name="_Toc270962758"/>
      <w:bookmarkStart w:id="1" w:name="_Toc536523962"/>
      <w:r w:rsidRPr="00B83EDA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9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10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1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2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2C6928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6F2CBE" w:rsidRPr="006F2CBE" w:rsidRDefault="001C16CC" w:rsidP="006F2CBE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270962759"/>
      <w:bookmarkStart w:id="3" w:name="_Toc536523963"/>
      <w:r w:rsidRPr="00B83EDA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1C16CC" w:rsidRPr="006F2CBE" w:rsidRDefault="001C16CC" w:rsidP="006F2CBE">
      <w:pPr>
        <w:pStyle w:val="a5"/>
        <w:numPr>
          <w:ilvl w:val="0"/>
          <w:numId w:val="26"/>
        </w:numPr>
        <w:spacing w:line="360" w:lineRule="auto"/>
      </w:pPr>
      <w:r w:rsidRPr="006F2CBE">
        <w:t>Выполнение работы предполагает решение следующих задач:</w:t>
      </w:r>
    </w:p>
    <w:p w:rsidR="001C16CC" w:rsidRPr="003802C2" w:rsidRDefault="001C16CC" w:rsidP="006F2CBE">
      <w:pPr>
        <w:pStyle w:val="a5"/>
        <w:numPr>
          <w:ilvl w:val="0"/>
          <w:numId w:val="26"/>
        </w:numPr>
        <w:spacing w:line="360" w:lineRule="auto"/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 w:rsidRPr="006F2CBE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6F2CBE">
      <w:pPr>
        <w:pStyle w:val="a5"/>
        <w:numPr>
          <w:ilvl w:val="0"/>
          <w:numId w:val="26"/>
        </w:numPr>
        <w:spacing w:line="360" w:lineRule="auto"/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 w:rsidRPr="006F2CBE"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6F2CBE">
      <w:pPr>
        <w:pStyle w:val="a5"/>
        <w:numPr>
          <w:ilvl w:val="0"/>
          <w:numId w:val="26"/>
        </w:numPr>
        <w:spacing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6F2CBE" w:rsidRPr="001A379B" w:rsidRDefault="006F2CBE" w:rsidP="006F2CBE">
      <w:pPr>
        <w:pStyle w:val="a5"/>
        <w:numPr>
          <w:ilvl w:val="0"/>
          <w:numId w:val="26"/>
        </w:numPr>
        <w:spacing w:line="360" w:lineRule="auto"/>
      </w:pPr>
      <w:r>
        <w:t xml:space="preserve">Написание </w:t>
      </w:r>
      <w:r w:rsidRPr="006F2CBE"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</w:p>
    <w:p w:rsidR="006F2CBE" w:rsidRDefault="006F2CBE" w:rsidP="006F2CBE">
      <w:pPr>
        <w:pStyle w:val="a5"/>
        <w:numPr>
          <w:ilvl w:val="0"/>
          <w:numId w:val="26"/>
        </w:numPr>
        <w:spacing w:line="360" w:lineRule="auto"/>
      </w:pPr>
      <w:r>
        <w:t xml:space="preserve">Создание класса </w:t>
      </w:r>
      <w:proofErr w:type="spellStart"/>
      <w:r w:rsidRPr="006F2CBE"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4" w:name="_Toc270962760"/>
      <w:bookmarkStart w:id="5" w:name="_Toc536523964"/>
      <w:r w:rsidRPr="00B83EDA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3B0E2C" w:rsidRDefault="001C16CC" w:rsidP="003B0E2C">
      <w:pPr>
        <w:shd w:val="clear" w:color="auto" w:fill="FFFFFF"/>
        <w:suppressAutoHyphens w:val="0"/>
        <w:spacing w:line="360" w:lineRule="auto"/>
      </w:pPr>
      <w:r>
        <w:t>При запуске</w:t>
      </w:r>
      <w:r w:rsidR="003B0E2C" w:rsidRPr="003B0E2C">
        <w:t xml:space="preserve"> </w:t>
      </w:r>
      <w:r w:rsidR="003B0E2C">
        <w:t xml:space="preserve">программы </w:t>
      </w:r>
      <w:r w:rsidR="006F2CBE">
        <w:t>необходимо</w:t>
      </w:r>
      <w:r w:rsidR="003B0E2C">
        <w:t xml:space="preserve"> ввести математическое выражение, например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5+3</m:t>
            </m:r>
          </m:e>
        </m:d>
        <m:r>
          <w:rPr>
            <w:rFonts w:ascii="Cambria Math" w:hAnsi="Cambria Math"/>
          </w:rPr>
          <m:t>-(10-7)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3B0E2C">
        <w:t xml:space="preserve">полученное выражение </w:t>
      </w:r>
      <w:r w:rsidR="008B3634">
        <w:t>преобразуется</w:t>
      </w:r>
      <w:r w:rsidR="003B0E2C">
        <w:t xml:space="preserve"> в</w:t>
      </w:r>
      <w:r w:rsidR="008B3634">
        <w:t xml:space="preserve"> обратную польскую запись</w:t>
      </w:r>
      <w:r>
        <w:t>:</w:t>
      </w:r>
      <w:r w:rsidR="003B0E2C">
        <w:t xml:space="preserve"> </w:t>
      </w:r>
      <m:oMath>
        <m:r>
          <w:rPr>
            <w:rFonts w:ascii="Cambria Math" w:hAnsi="Cambria Math"/>
          </w:rPr>
          <m:t>5 3+10 7--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6F2CBE" w:rsidP="003B0E2C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124835" cy="334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 w:rsidRPr="003B0E2C">
        <w:t>1</w:t>
      </w:r>
      <w:r>
        <w:t xml:space="preserve">. </w:t>
      </w:r>
      <w:r w:rsidR="003B0E2C">
        <w:t>Пример</w:t>
      </w:r>
      <w:r w:rsidR="008B3634">
        <w:t xml:space="preserve">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6" w:name="_Toc536523965"/>
      <w:r w:rsidRPr="00B83EDA">
        <w:rPr>
          <w:rFonts w:ascii="Times New Roman" w:hAnsi="Times New Roman" w:cs="Times New Roman"/>
        </w:rPr>
        <w:t>Руководство программиста</w:t>
      </w:r>
      <w:bookmarkEnd w:id="6"/>
    </w:p>
    <w:p w:rsidR="001C16CC" w:rsidRPr="006F2CBE" w:rsidRDefault="001C16CC" w:rsidP="006F2CBE">
      <w:pPr>
        <w:pStyle w:val="2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i w:val="0"/>
        </w:rPr>
      </w:pPr>
      <w:bookmarkStart w:id="7" w:name="_Toc270962764"/>
      <w:bookmarkStart w:id="8" w:name="_Toc536523966"/>
      <w:bookmarkStart w:id="9" w:name="_Toc270962762"/>
      <w:r w:rsidRPr="006F2CBE">
        <w:rPr>
          <w:rFonts w:ascii="Times New Roman" w:hAnsi="Times New Roman" w:cs="Times New Roman"/>
          <w:i w:val="0"/>
        </w:rPr>
        <w:t>Описание структуры программы</w:t>
      </w:r>
      <w:bookmarkEnd w:id="7"/>
      <w:bookmarkEnd w:id="8"/>
    </w:p>
    <w:p w:rsidR="006F2CBE" w:rsidRPr="00F85655" w:rsidRDefault="006F2CBE" w:rsidP="006F2CBE">
      <w:pPr>
        <w:rPr>
          <w:b/>
        </w:rPr>
      </w:pPr>
      <w:bookmarkStart w:id="10" w:name="_Hlk1337295"/>
      <w:r w:rsidRPr="001A379B">
        <w:rPr>
          <w:b/>
        </w:rPr>
        <w:t>Проект “</w:t>
      </w:r>
      <w:r w:rsidRPr="00A15CD0">
        <w:t xml:space="preserve"> </w:t>
      </w:r>
      <w:r>
        <w:rPr>
          <w:b/>
          <w:lang w:val="en-US"/>
        </w:rPr>
        <w:t>Polish</w:t>
      </w:r>
      <w:r w:rsidRPr="001A379B">
        <w:rPr>
          <w:b/>
        </w:rPr>
        <w:t>” включает в себя:</w:t>
      </w:r>
    </w:p>
    <w:p w:rsidR="006F2CBE" w:rsidRDefault="006F2CBE" w:rsidP="006F2CBE">
      <w:pPr>
        <w:numPr>
          <w:ilvl w:val="0"/>
          <w:numId w:val="27"/>
        </w:numPr>
        <w:spacing w:line="360" w:lineRule="auto"/>
      </w:pPr>
      <w:r>
        <w:rPr>
          <w:lang w:val="en-US"/>
        </w:rPr>
        <w:t>main</w:t>
      </w:r>
      <w:r w:rsidRPr="0007171D">
        <w:t>_</w:t>
      </w:r>
      <w:r>
        <w:rPr>
          <w:lang w:val="en-US"/>
        </w:rPr>
        <w:t>Polish</w:t>
      </w:r>
      <w:r w:rsidRPr="00D7309B">
        <w:t>.</w:t>
      </w:r>
      <w:proofErr w:type="spellStart"/>
      <w:r w:rsidRPr="001A379B">
        <w:rPr>
          <w:lang w:val="en-US"/>
        </w:rPr>
        <w:t>cpp</w:t>
      </w:r>
      <w:proofErr w:type="spellEnd"/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6F2CBE" w:rsidRDefault="006F2CBE" w:rsidP="006F2CBE">
      <w:pPr>
        <w:ind w:left="360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>
        <w:rPr>
          <w:b/>
          <w:lang w:val="en-US"/>
        </w:rPr>
        <w:t>Polish</w:t>
      </w:r>
      <w:r w:rsidRPr="001223B3">
        <w:rPr>
          <w:b/>
          <w:lang w:val="en-US"/>
        </w:rPr>
        <w:t>Lib</w:t>
      </w:r>
      <w:proofErr w:type="spellEnd"/>
      <w:r w:rsidRPr="001223B3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6F2CBE" w:rsidRDefault="006F2CBE" w:rsidP="006F2CBE">
      <w:pPr>
        <w:numPr>
          <w:ilvl w:val="0"/>
          <w:numId w:val="28"/>
        </w:numPr>
        <w:spacing w:line="360" w:lineRule="auto"/>
      </w:pPr>
      <w:bookmarkStart w:id="11" w:name="_Hlk1334270"/>
      <w:r>
        <w:rPr>
          <w:lang w:val="en-US"/>
        </w:rPr>
        <w:t>Polish</w:t>
      </w:r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proofErr w:type="gramStart"/>
      <w:r w:rsidRPr="00AF6D84">
        <w:t>“</w:t>
      </w:r>
      <w:r w:rsidRPr="0007171D">
        <w:t xml:space="preserve">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Polish</w:t>
      </w:r>
      <w:proofErr w:type="spellEnd"/>
      <w:proofErr w:type="gramEnd"/>
      <w:r w:rsidRPr="001A379B">
        <w:t xml:space="preserve"> ”)</w:t>
      </w:r>
    </w:p>
    <w:p w:rsidR="006F2CBE" w:rsidRDefault="006F2CBE" w:rsidP="006F2CBE">
      <w:pPr>
        <w:numPr>
          <w:ilvl w:val="0"/>
          <w:numId w:val="28"/>
        </w:numPr>
        <w:spacing w:line="360" w:lineRule="auto"/>
      </w:pPr>
      <w:r>
        <w:rPr>
          <w:lang w:val="en-US"/>
        </w:rPr>
        <w:t>Polish</w:t>
      </w:r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</w:t>
      </w:r>
    </w:p>
    <w:bookmarkEnd w:id="11"/>
    <w:p w:rsidR="006F2CBE" w:rsidRDefault="006F2CBE" w:rsidP="006F2CBE">
      <w:pPr>
        <w:ind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proofErr w:type="spellStart"/>
      <w:r w:rsidRPr="006F2CBE">
        <w:rPr>
          <w:b/>
          <w:lang w:val="en-US"/>
        </w:rPr>
        <w:t>Polish</w:t>
      </w:r>
      <w:r w:rsidRPr="00F85655">
        <w:rPr>
          <w:b/>
          <w:lang w:val="en-US"/>
        </w:rPr>
        <w:t>Test</w:t>
      </w:r>
      <w:proofErr w:type="spellEnd"/>
      <w:r w:rsidRPr="001A379B">
        <w:rPr>
          <w:b/>
        </w:rPr>
        <w:t>” включает в себя:</w:t>
      </w:r>
    </w:p>
    <w:p w:rsidR="006F2CBE" w:rsidRDefault="006F2CBE" w:rsidP="006F2CBE">
      <w:pPr>
        <w:numPr>
          <w:ilvl w:val="0"/>
          <w:numId w:val="29"/>
        </w:numPr>
        <w:spacing w:line="360" w:lineRule="auto"/>
      </w:pPr>
      <w:r>
        <w:rPr>
          <w:lang w:val="en-US"/>
        </w:rPr>
        <w:t>Polish</w:t>
      </w:r>
      <w:r w:rsidRPr="006F2CBE">
        <w:t xml:space="preserve"> </w:t>
      </w:r>
      <w:r w:rsidRPr="00F85655">
        <w:rPr>
          <w:lang w:val="en-US"/>
        </w:rPr>
        <w:t>Test</w:t>
      </w:r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6F2CBE" w:rsidRDefault="006F2CBE" w:rsidP="006F2CBE">
      <w:pPr>
        <w:pStyle w:val="a5"/>
        <w:shd w:val="clear" w:color="auto" w:fill="FFFFFF"/>
        <w:suppressAutoHyphens w:val="0"/>
        <w:spacing w:before="0"/>
        <w:ind w:left="360" w:firstLine="349"/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7B7589">
        <w:rPr>
          <w:b/>
          <w:lang w:val="en-US"/>
        </w:rPr>
        <w:t>ExceptionLib</w:t>
      </w:r>
      <w:proofErr w:type="spellEnd"/>
      <w:r w:rsidRPr="007B7589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6F2CBE" w:rsidRDefault="006F2CBE" w:rsidP="006F2CBE">
      <w:pPr>
        <w:pStyle w:val="a5"/>
        <w:numPr>
          <w:ilvl w:val="0"/>
          <w:numId w:val="30"/>
        </w:numPr>
        <w:shd w:val="clear" w:color="auto" w:fill="FFFFFF"/>
        <w:suppressAutoHyphens w:val="0"/>
        <w:spacing w:before="0" w:line="360" w:lineRule="auto"/>
      </w:pPr>
      <w:r>
        <w:t>библиотека, содержащая класс исключений.</w:t>
      </w:r>
    </w:p>
    <w:bookmarkEnd w:id="10"/>
    <w:p w:rsidR="006F2CBE" w:rsidRDefault="006F2CBE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3B0E2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 w:rsidR="003B0E2C">
        <w:t>, в котором</w:t>
      </w:r>
      <w:r>
        <w:t xml:space="preserve"> описан</w:t>
      </w:r>
      <w:r w:rsidR="003B0B4F">
        <w:t>ы прототипы четырех методов для работы с ОПЗ</w:t>
      </w:r>
      <w:r w:rsidR="003B0E2C">
        <w:t xml:space="preserve"> и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  <w:r w:rsidR="003B0E2C">
        <w:t xml:space="preserve"> Также в модуле содержатся </w:t>
      </w:r>
      <w:r w:rsidR="003B0E2C" w:rsidRPr="003B0E2C">
        <w:t>файлы</w:t>
      </w:r>
      <w:r w:rsidR="003B0E2C">
        <w:t xml:space="preserve"> </w:t>
      </w:r>
      <w:proofErr w:type="spellStart"/>
      <w:r w:rsidR="003B0E2C">
        <w:rPr>
          <w:lang w:val="en-US"/>
        </w:rPr>
        <w:t>Stroka</w:t>
      </w:r>
      <w:proofErr w:type="spellEnd"/>
      <w:proofErr w:type="gramStart"/>
      <w:r w:rsidR="003B0E2C" w:rsidRPr="003B0E2C">
        <w:t>.</w:t>
      </w:r>
      <w:proofErr w:type="gramEnd"/>
      <w:r w:rsidR="003B0E2C">
        <w:rPr>
          <w:lang w:val="en-US"/>
        </w:rPr>
        <w:t>h</w:t>
      </w:r>
      <w:r w:rsidR="003B0E2C">
        <w:t xml:space="preserve"> и </w:t>
      </w:r>
      <w:proofErr w:type="spellStart"/>
      <w:r w:rsidR="003B0E2C">
        <w:rPr>
          <w:lang w:val="en-US"/>
        </w:rPr>
        <w:t>Stroka</w:t>
      </w:r>
      <w:proofErr w:type="spellEnd"/>
      <w:r w:rsidR="003B0E2C" w:rsidRPr="003B0E2C">
        <w:t>.</w:t>
      </w:r>
      <w:proofErr w:type="spellStart"/>
      <w:r w:rsidR="003B0E2C">
        <w:rPr>
          <w:lang w:val="en-US"/>
        </w:rPr>
        <w:t>cpp</w:t>
      </w:r>
      <w:proofErr w:type="spellEnd"/>
      <w:r w:rsidR="003B0E2C">
        <w:t xml:space="preserve"> в которых описан </w:t>
      </w:r>
      <w:r w:rsidR="003B0E2C" w:rsidRPr="00286D76">
        <w:t>интерфей</w:t>
      </w:r>
      <w:r w:rsidR="003B0E2C">
        <w:t xml:space="preserve">с и реализация класса </w:t>
      </w:r>
      <w:proofErr w:type="spellStart"/>
      <w:r w:rsidR="003B0E2C">
        <w:rPr>
          <w:i/>
          <w:lang w:val="en-US"/>
        </w:rPr>
        <w:t>TString</w:t>
      </w:r>
      <w:proofErr w:type="spellEnd"/>
      <w:r w:rsidR="003B0E2C" w:rsidRPr="000D7A53">
        <w:rPr>
          <w:i/>
        </w:rPr>
        <w:t xml:space="preserve"> </w:t>
      </w:r>
      <w:r w:rsidR="003B0E2C">
        <w:t>(3 конструктора, деструктор и 7 методов).</w:t>
      </w:r>
    </w:p>
    <w:p w:rsidR="001C16CC" w:rsidRPr="003B0E2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6F253D">
        <w:t>одержит 2</w:t>
      </w:r>
      <w:r w:rsidR="006F253D" w:rsidRPr="006F253D">
        <w:t>3</w:t>
      </w:r>
      <w:r>
        <w:t xml:space="preserve"> тест</w:t>
      </w:r>
      <w:r w:rsidR="006F253D">
        <w:t>а, описанные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3B0E2C" w:rsidRDefault="003B0E2C" w:rsidP="003B0E2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16CC" w:rsidRPr="006F2CBE" w:rsidRDefault="001C16CC" w:rsidP="006F2CBE">
      <w:pPr>
        <w:pStyle w:val="2"/>
        <w:numPr>
          <w:ilvl w:val="1"/>
          <w:numId w:val="1"/>
        </w:numPr>
        <w:spacing w:before="0" w:after="240"/>
        <w:jc w:val="center"/>
        <w:rPr>
          <w:rFonts w:ascii="Times New Roman" w:hAnsi="Times New Roman" w:cs="Times New Roman"/>
          <w:i w:val="0"/>
        </w:rPr>
      </w:pPr>
      <w:bookmarkStart w:id="12" w:name="_Toc536523967"/>
      <w:bookmarkEnd w:id="9"/>
      <w:r w:rsidRPr="006F2CBE">
        <w:rPr>
          <w:rFonts w:ascii="Times New Roman" w:hAnsi="Times New Roman" w:cs="Times New Roman"/>
          <w:i w:val="0"/>
        </w:rPr>
        <w:t>Описание алгоритмов</w:t>
      </w:r>
      <w:bookmarkEnd w:id="12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6F2CBE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6F2CBE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6F2CBE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6F2CBE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6F2CBE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6F2CBE">
      <w:pPr>
        <w:pStyle w:val="a5"/>
        <w:numPr>
          <w:ilvl w:val="0"/>
          <w:numId w:val="2"/>
        </w:numPr>
        <w:spacing w:before="0" w:line="360" w:lineRule="auto"/>
      </w:pPr>
      <w:r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>Данные действия продолжаются либо до опустошения стека S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13" w:name="_Toc536523968"/>
      <w:bookmarkStart w:id="14" w:name="_Toc270962766"/>
      <w:bookmarkStart w:id="15" w:name="_Toc169986020"/>
      <w:r w:rsidRPr="00B83EDA">
        <w:rPr>
          <w:rFonts w:ascii="Times New Roman" w:hAnsi="Times New Roman" w:cs="Times New Roman"/>
        </w:rPr>
        <w:t>Заключение</w:t>
      </w:r>
      <w:bookmarkEnd w:id="13"/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Pr="00B83EDA" w:rsidRDefault="001C16CC" w:rsidP="00B83EDA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</w:rPr>
      </w:pPr>
      <w:bookmarkStart w:id="16" w:name="_Toc536523969"/>
      <w:r w:rsidRPr="00B83EDA">
        <w:rPr>
          <w:rFonts w:ascii="Times New Roman" w:hAnsi="Times New Roman" w:cs="Times New Roman"/>
        </w:rPr>
        <w:lastRenderedPageBreak/>
        <w:t>Литература</w:t>
      </w:r>
      <w:bookmarkEnd w:id="14"/>
      <w:bookmarkEnd w:id="15"/>
      <w:bookmarkEnd w:id="16"/>
    </w:p>
    <w:p w:rsidR="0049361E" w:rsidRPr="00F118BE" w:rsidRDefault="0049361E" w:rsidP="0049361E">
      <w:pPr>
        <w:pStyle w:val="a5"/>
        <w:numPr>
          <w:ilvl w:val="0"/>
          <w:numId w:val="4"/>
        </w:numPr>
        <w:spacing w:line="360" w:lineRule="auto"/>
      </w:pPr>
      <w:bookmarkStart w:id="17" w:name="_Hlk1336800"/>
      <w:r>
        <w:t>Книги</w:t>
      </w:r>
    </w:p>
    <w:p w:rsidR="0049361E" w:rsidRDefault="0049361E" w:rsidP="0049361E">
      <w:pPr>
        <w:pStyle w:val="a6"/>
        <w:spacing w:before="0" w:line="360" w:lineRule="auto"/>
        <w:ind w:left="785" w:hanging="360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361E" w:rsidRDefault="0049361E" w:rsidP="0049361E">
      <w:pPr>
        <w:pStyle w:val="a6"/>
        <w:numPr>
          <w:ilvl w:val="0"/>
          <w:numId w:val="31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49361E" w:rsidRDefault="0049361E" w:rsidP="0049361E">
      <w:pPr>
        <w:pStyle w:val="a6"/>
        <w:spacing w:before="0" w:line="360" w:lineRule="auto"/>
        <w:ind w:left="785" w:hanging="36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</w:instrText>
      </w:r>
      <w:r w:rsidRPr="0049361E">
        <w:rPr>
          <w:rStyle w:val="a3"/>
        </w:rPr>
        <w:instrText>http://www.itmm.unn.ru/files/2018/10/Primer-1.3.-Struktury-hraneniya-</w:instrText>
      </w:r>
      <w:r w:rsidRPr="0049361E">
        <w:rPr>
          <w:rStyle w:val="a3"/>
          <w:lang w:val="en-US"/>
        </w:rPr>
        <w:instrText>polskoi</w:instrText>
      </w:r>
      <w:r w:rsidRPr="0049361E">
        <w:rPr>
          <w:rStyle w:val="a3"/>
        </w:rPr>
        <w:instrText>-</w:instrText>
      </w:r>
      <w:r w:rsidRPr="0049361E">
        <w:rPr>
          <w:rStyle w:val="a3"/>
          <w:lang w:val="en-US"/>
        </w:rPr>
        <w:instrText>zapisi</w:instrText>
      </w:r>
      <w:r w:rsidRPr="0049361E">
        <w:rPr>
          <w:rStyle w:val="a3"/>
        </w:rPr>
        <w:instrText>.pdf</w:instrText>
      </w:r>
      <w:r>
        <w:rPr>
          <w:rStyle w:val="a3"/>
        </w:rPr>
        <w:instrText xml:space="preserve">" </w:instrText>
      </w:r>
      <w:r>
        <w:rPr>
          <w:rStyle w:val="a3"/>
        </w:rPr>
        <w:fldChar w:fldCharType="separate"/>
      </w:r>
      <w:r w:rsidRPr="00CD2F4F">
        <w:rPr>
          <w:rStyle w:val="a3"/>
        </w:rPr>
        <w:t>http://www.itmm.unn.ru/files/2018/10/Primer-1.3.-Struktury-hraneniya-</w:t>
      </w:r>
      <w:r w:rsidRPr="00CD2F4F">
        <w:rPr>
          <w:rStyle w:val="a3"/>
          <w:lang w:val="en-US"/>
        </w:rPr>
        <w:t>polskoi</w:t>
      </w:r>
      <w:r w:rsidRPr="0049361E">
        <w:rPr>
          <w:rStyle w:val="a3"/>
        </w:rPr>
        <w:t>-</w:t>
      </w:r>
      <w:r w:rsidRPr="00CD2F4F">
        <w:rPr>
          <w:rStyle w:val="a3"/>
          <w:lang w:val="en-US"/>
        </w:rPr>
        <w:t>zapisi</w:t>
      </w:r>
      <w:r w:rsidRPr="00CD2F4F">
        <w:rPr>
          <w:rStyle w:val="a3"/>
        </w:rPr>
        <w:t>.pdf</w:t>
      </w:r>
      <w:r>
        <w:rPr>
          <w:rStyle w:val="a3"/>
        </w:rPr>
        <w:fldChar w:fldCharType="end"/>
      </w:r>
      <w:r w:rsidRPr="00782F86">
        <w:t>], 2015.</w:t>
      </w:r>
    </w:p>
    <w:p w:rsidR="0049361E" w:rsidRPr="0049361E" w:rsidRDefault="0049361E" w:rsidP="0049361E">
      <w:pPr>
        <w:pStyle w:val="a6"/>
        <w:spacing w:before="0" w:line="360" w:lineRule="auto"/>
        <w:ind w:left="785" w:hanging="360"/>
      </w:pPr>
      <w:r w:rsidRPr="003C7F23">
        <w:rPr>
          <w:lang w:val="en-US"/>
        </w:rPr>
        <w:t>METANIT</w:t>
      </w:r>
      <w:r w:rsidRPr="0049361E">
        <w:t>.</w:t>
      </w:r>
      <w:r w:rsidRPr="003C7F23">
        <w:rPr>
          <w:lang w:val="en-US"/>
        </w:rPr>
        <w:t>COM</w:t>
      </w:r>
      <w:r w:rsidRPr="0049361E">
        <w:t xml:space="preserve">: </w:t>
      </w:r>
      <w:r>
        <w:t>польская запись</w:t>
      </w:r>
      <w:r w:rsidRPr="0049361E">
        <w:t>: [</w:t>
      </w:r>
      <w:hyperlink r:id="rId14" w:history="1">
        <w:r w:rsidRPr="005922BF">
          <w:rPr>
            <w:rStyle w:val="a3"/>
            <w:lang w:val="en-US"/>
          </w:rPr>
          <w:t>https</w:t>
        </w:r>
        <w:r w:rsidRPr="0049361E">
          <w:rPr>
            <w:rStyle w:val="a3"/>
          </w:rPr>
          <w:t>://</w:t>
        </w:r>
        <w:proofErr w:type="spellStart"/>
        <w:r w:rsidRPr="005922BF">
          <w:rPr>
            <w:rStyle w:val="a3"/>
            <w:lang w:val="en-US"/>
          </w:rPr>
          <w:t>metanit</w:t>
        </w:r>
        <w:proofErr w:type="spellEnd"/>
        <w:r w:rsidRPr="0049361E">
          <w:rPr>
            <w:rStyle w:val="a3"/>
          </w:rPr>
          <w:t>.</w:t>
        </w:r>
        <w:r w:rsidRPr="005922BF">
          <w:rPr>
            <w:rStyle w:val="a3"/>
            <w:lang w:val="en-US"/>
          </w:rPr>
          <w:t>com</w:t>
        </w:r>
        <w:r w:rsidRPr="0049361E">
          <w:rPr>
            <w:rStyle w:val="a3"/>
          </w:rPr>
          <w:t>/</w:t>
        </w:r>
        <w:r w:rsidRPr="005922BF">
          <w:rPr>
            <w:rStyle w:val="a3"/>
            <w:lang w:val="en-US"/>
          </w:rPr>
          <w:t>sharp</w:t>
        </w:r>
        <w:r w:rsidRPr="0049361E">
          <w:rPr>
            <w:rStyle w:val="a3"/>
          </w:rPr>
          <w:t>/</w:t>
        </w:r>
        <w:proofErr w:type="spellStart"/>
        <w:r w:rsidRPr="005922BF">
          <w:rPr>
            <w:rStyle w:val="a3"/>
            <w:lang w:val="en-US"/>
          </w:rPr>
          <w:t>algoritm</w:t>
        </w:r>
        <w:proofErr w:type="spellEnd"/>
        <w:r w:rsidRPr="0049361E">
          <w:rPr>
            <w:rStyle w:val="a3"/>
          </w:rPr>
          <w:t>/2.3.</w:t>
        </w:r>
        <w:r w:rsidRPr="005922BF">
          <w:rPr>
            <w:rStyle w:val="a3"/>
            <w:lang w:val="en-US"/>
          </w:rPr>
          <w:t>php</w:t>
        </w:r>
      </w:hyperlink>
      <w:r w:rsidRPr="0049361E">
        <w:t>]</w:t>
      </w:r>
    </w:p>
    <w:p w:rsidR="0049361E" w:rsidRDefault="0049361E" w:rsidP="0049361E">
      <w:pPr>
        <w:pStyle w:val="a6"/>
        <w:spacing w:before="0" w:line="360" w:lineRule="auto"/>
        <w:ind w:left="785" w:hanging="360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3"/>
        </w:rPr>
        <w:t xml:space="preserve"> </w:t>
      </w:r>
      <w:r w:rsidRPr="003C7F23">
        <w:t>[</w:t>
      </w:r>
      <w:r w:rsidRPr="008A7B73">
        <w:rPr>
          <w:rStyle w:val="a3"/>
        </w:rPr>
        <w:t>https://ru.wikipedia.org/wiki/</w:t>
      </w:r>
      <w:r>
        <w:rPr>
          <w:rStyle w:val="a3"/>
        </w:rPr>
        <w:t>Польская запись</w:t>
      </w:r>
      <w:r w:rsidRPr="003C7F23">
        <w:t>]</w:t>
      </w:r>
      <w:bookmarkStart w:id="18" w:name="_GoBack"/>
      <w:bookmarkEnd w:id="18"/>
    </w:p>
    <w:bookmarkEnd w:id="17"/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/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928" w:rsidRDefault="002C6928">
      <w:pPr>
        <w:spacing w:before="0"/>
      </w:pPr>
      <w:r>
        <w:separator/>
      </w:r>
    </w:p>
  </w:endnote>
  <w:endnote w:type="continuationSeparator" w:id="0">
    <w:p w:rsidR="002C6928" w:rsidRDefault="002C69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53D">
          <w:rPr>
            <w:noProof/>
          </w:rPr>
          <w:t>9</w:t>
        </w:r>
        <w:r>
          <w:fldChar w:fldCharType="end"/>
        </w:r>
      </w:p>
    </w:sdtContent>
  </w:sdt>
  <w:p w:rsidR="005C0172" w:rsidRDefault="002C69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9981465"/>
      <w:docPartObj>
        <w:docPartGallery w:val="Page Numbers (Bottom of Page)"/>
        <w:docPartUnique/>
      </w:docPartObj>
    </w:sdtPr>
    <w:sdtEndPr/>
    <w:sdtContent>
      <w:p w:rsidR="00B83EDA" w:rsidRDefault="00B83E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83EDA" w:rsidRDefault="00B83E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928" w:rsidRDefault="002C6928">
      <w:pPr>
        <w:spacing w:before="0"/>
      </w:pPr>
      <w:r>
        <w:separator/>
      </w:r>
    </w:p>
  </w:footnote>
  <w:footnote w:type="continuationSeparator" w:id="0">
    <w:p w:rsidR="002C6928" w:rsidRDefault="002C692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64E21"/>
    <w:multiLevelType w:val="hybridMultilevel"/>
    <w:tmpl w:val="F524EFFC"/>
    <w:lvl w:ilvl="0" w:tplc="041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D0672"/>
    <w:multiLevelType w:val="hybridMultilevel"/>
    <w:tmpl w:val="8D9AF60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5FD2E52"/>
    <w:multiLevelType w:val="hybridMultilevel"/>
    <w:tmpl w:val="9C12FE52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9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B1DB0"/>
    <w:multiLevelType w:val="hybridMultilevel"/>
    <w:tmpl w:val="1FCA01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62B4B"/>
    <w:multiLevelType w:val="hybridMultilevel"/>
    <w:tmpl w:val="36AA8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6"/>
  </w:num>
  <w:num w:numId="9">
    <w:abstractNumId w:val="24"/>
  </w:num>
  <w:num w:numId="10">
    <w:abstractNumId w:val="6"/>
  </w:num>
  <w:num w:numId="11">
    <w:abstractNumId w:val="10"/>
  </w:num>
  <w:num w:numId="12">
    <w:abstractNumId w:val="26"/>
  </w:num>
  <w:num w:numId="13">
    <w:abstractNumId w:val="13"/>
  </w:num>
  <w:num w:numId="14">
    <w:abstractNumId w:val="5"/>
  </w:num>
  <w:num w:numId="15">
    <w:abstractNumId w:val="19"/>
  </w:num>
  <w:num w:numId="16">
    <w:abstractNumId w:val="14"/>
  </w:num>
  <w:num w:numId="17">
    <w:abstractNumId w:val="0"/>
  </w:num>
  <w:num w:numId="18">
    <w:abstractNumId w:val="8"/>
  </w:num>
  <w:num w:numId="19">
    <w:abstractNumId w:val="15"/>
  </w:num>
  <w:num w:numId="20">
    <w:abstractNumId w:val="20"/>
  </w:num>
  <w:num w:numId="21">
    <w:abstractNumId w:val="22"/>
  </w:num>
  <w:num w:numId="22">
    <w:abstractNumId w:val="11"/>
  </w:num>
  <w:num w:numId="23">
    <w:abstractNumId w:val="2"/>
  </w:num>
  <w:num w:numId="24">
    <w:abstractNumId w:val="18"/>
  </w:num>
  <w:num w:numId="25">
    <w:abstractNumId w:val="27"/>
  </w:num>
  <w:num w:numId="26">
    <w:abstractNumId w:val="25"/>
  </w:num>
  <w:num w:numId="27">
    <w:abstractNumId w:val="3"/>
  </w:num>
  <w:num w:numId="28">
    <w:abstractNumId w:val="28"/>
  </w:num>
  <w:num w:numId="29">
    <w:abstractNumId w:val="7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57"/>
    <w:rsid w:val="00083D2D"/>
    <w:rsid w:val="000B4AAE"/>
    <w:rsid w:val="000C0AF5"/>
    <w:rsid w:val="000E37EB"/>
    <w:rsid w:val="00154857"/>
    <w:rsid w:val="001C16CC"/>
    <w:rsid w:val="002B2316"/>
    <w:rsid w:val="002C0F49"/>
    <w:rsid w:val="002C6928"/>
    <w:rsid w:val="003B0B4F"/>
    <w:rsid w:val="003B0E2C"/>
    <w:rsid w:val="0049361E"/>
    <w:rsid w:val="00696057"/>
    <w:rsid w:val="006F253D"/>
    <w:rsid w:val="006F2CBE"/>
    <w:rsid w:val="007A2E01"/>
    <w:rsid w:val="008B3634"/>
    <w:rsid w:val="0096691A"/>
    <w:rsid w:val="009B1573"/>
    <w:rsid w:val="00B709FE"/>
    <w:rsid w:val="00B83EDA"/>
    <w:rsid w:val="00CF27A2"/>
    <w:rsid w:val="00D13AFE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BF8E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  <w:style w:type="paragraph" w:styleId="ae">
    <w:name w:val="header"/>
    <w:basedOn w:val="a"/>
    <w:link w:val="af"/>
    <w:uiPriority w:val="99"/>
    <w:unhideWhenUsed/>
    <w:rsid w:val="00B83EDA"/>
    <w:pPr>
      <w:tabs>
        <w:tab w:val="center" w:pos="4677"/>
        <w:tab w:val="right" w:pos="9355"/>
      </w:tabs>
      <w:spacing w:before="0"/>
    </w:pPr>
  </w:style>
  <w:style w:type="character" w:customStyle="1" w:styleId="af">
    <w:name w:val="Верхний колонтитул Знак"/>
    <w:basedOn w:val="a0"/>
    <w:link w:val="ae"/>
    <w:uiPriority w:val="99"/>
    <w:rsid w:val="00B83E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49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0%BD%D0%B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2%D0%B5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3</cp:revision>
  <dcterms:created xsi:type="dcterms:W3CDTF">2019-01-29T05:45:00Z</dcterms:created>
  <dcterms:modified xsi:type="dcterms:W3CDTF">2019-02-17T20:54:00Z</dcterms:modified>
</cp:coreProperties>
</file>