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  <w:bookmarkStart w:id="0" w:name="_Toc390093124"/>
    </w:p>
    <w:p>
      <w:pPr/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84"/>
          <w:szCs w:val="84"/>
        </w:rPr>
      </w:pPr>
      <w:bookmarkStart w:id="1" w:name="_Toc611501897"/>
      <w:r>
        <w:rPr>
          <w:rFonts w:ascii="Times New Roman" w:hAnsi="Times New Roman" w:eastAsia="宋体"/>
          <w:sz w:val="84"/>
          <w:szCs w:val="84"/>
        </w:rPr>
        <w:t>爱汝康分析</w:t>
      </w:r>
      <w:bookmarkEnd w:id="1"/>
      <w:r>
        <w:rPr>
          <w:rFonts w:ascii="Times New Roman" w:hAnsi="Times New Roman" w:eastAsia="宋体"/>
          <w:sz w:val="84"/>
          <w:szCs w:val="84"/>
        </w:rPr>
        <w:t>技术文档</w:t>
      </w:r>
      <w:bookmarkStart w:id="14" w:name="_GoBack"/>
      <w:bookmarkEnd w:id="14"/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版本号：V2.0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发布时间：2016.07.28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目录</w:t>
      </w: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TOC \o "1-2" \h \u </w:instrText>
      </w:r>
      <w:r>
        <w:rPr>
          <w:rFonts w:ascii="Times New Roman" w:hAnsi="Times New Roman"/>
          <w:sz w:val="32"/>
          <w:szCs w:val="32"/>
        </w:rPr>
        <w:fldChar w:fldCharType="separate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_Toc2014864168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1</w:t>
      </w:r>
      <w:r>
        <w:rPr>
          <w:rFonts w:ascii="Calibri" w:hAnsi="Calibri" w:eastAsia="宋体" w:cs="Times New Roman"/>
          <w:kern w:val="44"/>
          <w:sz w:val="32"/>
          <w:szCs w:val="32"/>
          <w:lang w:eastAsia="zh-CN" w:bidi="ar-SA"/>
        </w:rPr>
        <w:t xml:space="preserve">. 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运行说明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_Toc2014864168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3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auto"/>
          <w:kern w:val="44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_Toc640489993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1.1输出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_Toc640489993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3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_Toc444571716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 w:bidi="ar-SA"/>
        </w:rPr>
        <w:t xml:space="preserve">.2 </w:t>
      </w:r>
      <w:r>
        <w:rPr>
          <w:rFonts w:ascii="Times New Roman" w:hAnsi="Times New Roman" w:eastAsia="宋体" w:cs="Times New Roman"/>
          <w:sz w:val="32"/>
          <w:szCs w:val="32"/>
          <w:lang w:val="en-US" w:eastAsia="zh-CN" w:bidi="ar-SA"/>
        </w:rPr>
        <w:t>运行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_Toc444571716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4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auto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_Toc221958977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2. 技术路线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_Toc221958977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5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_Toc2099014030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sz w:val="32"/>
          <w:szCs w:val="32"/>
          <w:lang w:val="en-US" w:eastAsia="zh-CN" w:bidi="ar-SA"/>
        </w:rPr>
        <w:t>数据评估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_Toc2099014030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6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_Toc990316699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2.2</w:t>
      </w:r>
      <w:r>
        <w:rPr>
          <w:rFonts w:hint="default" w:ascii="Arial" w:hAnsi="Calibri" w:eastAsia="宋体" w:cs="Times New Roman"/>
          <w:sz w:val="32"/>
          <w:szCs w:val="32"/>
          <w:lang w:val="en-US" w:eastAsia="zh-CN" w:bidi="ar-SA"/>
        </w:rPr>
        <w:t xml:space="preserve"> 比对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_Toc990316699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6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_Toc1310455558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2.3 Bam文件预处理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_Toc1310455558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6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_Toc1742217037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2.4</w:t>
      </w:r>
      <w:r>
        <w:rPr>
          <w:rFonts w:hint="eastAsia" w:ascii="Calibri" w:hAnsi="Calibri" w:eastAsia="宋体" w:cs="Times New Roman"/>
          <w:sz w:val="32"/>
          <w:szCs w:val="32"/>
          <w:lang w:val="en-US" w:eastAsia="zh-CN" w:bidi="ar-SA"/>
        </w:rPr>
        <w:t>变异检测和注释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_Toc1742217037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8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_Toc1369385446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2.5生成爱汝康报告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_Toc1369385446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9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32"/>
          <w:szCs w:val="3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instrText xml:space="preserve"> HYPERLINK \l _Toc483963354 </w:instrText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2"/>
          <w:szCs w:val="32"/>
          <w:lang w:val="en-US" w:eastAsia="zh-CN" w:bidi="ar-SA"/>
        </w:rPr>
        <w:t>3.声明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ab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instrText xml:space="preserve"> PAGEREF _Toc483963354 </w:instrTex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t>10</w:t>
      </w:r>
      <w:r>
        <w:rPr>
          <w:rFonts w:ascii="Calibri" w:hAnsi="Calibri" w:eastAsia="宋体" w:cs="Times New Roman"/>
          <w:sz w:val="32"/>
          <w:szCs w:val="3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p>
      <w:pPr>
        <w:jc w:val="center"/>
        <w:rPr>
          <w:rFonts w:ascii="Times New Roman" w:hAnsi="Times New Roman"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NumType w:fmt="decimal"/>
          <w:titlePg/>
          <w:docGrid w:type="lines" w:linePitch="312" w:charSpace="0"/>
        </w:sectPr>
      </w:pPr>
      <w:r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  <w:fldChar w:fldCharType="end"/>
      </w:r>
    </w:p>
    <w:bookmarkEnd w:id="0"/>
    <w:p>
      <w:pPr>
        <w:pStyle w:val="2"/>
        <w:numPr>
          <w:ilvl w:val="0"/>
          <w:numId w:val="1"/>
        </w:numPr>
      </w:pPr>
      <w:bookmarkStart w:id="2" w:name="_Toc2014864168"/>
      <w:r>
        <w:t>运行说明</w:t>
      </w:r>
      <w:bookmarkEnd w:id="2"/>
    </w:p>
    <w:p>
      <w:pPr>
        <w:pStyle w:val="3"/>
      </w:pPr>
      <w:bookmarkStart w:id="3" w:name="_Toc640489993"/>
      <w:r>
        <w:t>1.1输出</w:t>
      </w:r>
      <w:bookmarkEnd w:id="3"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输出文件</w:t>
      </w:r>
      <w:r>
        <w:rPr>
          <w:rFonts w:hint="eastAsia" w:ascii="Times New Roman" w:hAnsi="宋体" w:eastAsia="宋体" w:cs="Times New Roman"/>
          <w:sz w:val="21"/>
          <w:szCs w:val="21"/>
        </w:rPr>
        <w:t>夹</w:t>
      </w:r>
      <w:r>
        <w:rPr>
          <w:rFonts w:ascii="Times New Roman" w:hAnsi="宋体" w:eastAsia="宋体" w:cs="Times New Roman"/>
          <w:sz w:val="21"/>
          <w:szCs w:val="21"/>
        </w:rPr>
        <w:t>的列表如下：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Analysis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├── Annotation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</w:t>
      </w:r>
      <w:r>
        <w:rPr>
          <w:rFonts w:hint="default" w:hAnsi="宋体" w:eastAsia="宋体" w:cs="Times New Roman" w:asciiTheme="majorAscii"/>
          <w:sz w:val="21"/>
          <w:szCs w:val="21"/>
        </w:rPr>
        <w:t>解析</w:t>
      </w:r>
      <w:r>
        <w:rPr>
          <w:rFonts w:hint="eastAsia" w:hAnsi="宋体" w:eastAsia="宋体" w:cs="Times New Roman" w:asciiTheme="majorAscii"/>
          <w:sz w:val="21"/>
          <w:szCs w:val="21"/>
        </w:rPr>
        <w:t>结果目录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└── Result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变异</w:t>
      </w:r>
      <w:r>
        <w:rPr>
          <w:rFonts w:hint="default" w:hAnsi="宋体" w:eastAsia="宋体" w:cs="Times New Roman" w:asciiTheme="majorAscii"/>
          <w:sz w:val="21"/>
          <w:szCs w:val="21"/>
        </w:rPr>
        <w:t>解析</w:t>
      </w:r>
      <w:r>
        <w:rPr>
          <w:rFonts w:hint="eastAsia" w:hAnsi="宋体" w:eastAsia="宋体" w:cs="Times New Roman" w:asciiTheme="majorAscii"/>
          <w:sz w:val="21"/>
          <w:szCs w:val="21"/>
        </w:rPr>
        <w:t>结果目录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    └── Sample.result.xls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</w:t>
      </w:r>
      <w:r>
        <w:rPr>
          <w:rFonts w:hint="default" w:hAnsi="宋体" w:eastAsia="宋体" w:cs="Times New Roman" w:asciiTheme="majorAscii"/>
          <w:sz w:val="21"/>
          <w:szCs w:val="21"/>
        </w:rPr>
        <w:t>解析</w:t>
      </w:r>
      <w:r>
        <w:rPr>
          <w:rFonts w:hint="eastAsia" w:hAnsi="宋体" w:eastAsia="宋体" w:cs="Times New Roman" w:asciiTheme="majorAscii"/>
          <w:sz w:val="21"/>
          <w:szCs w:val="21"/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├── FastQC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生成的序列质量评估结果目录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├── Mapping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与基因组比对文件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└─── Summary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生成的统计文件目录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   └── Sample.summary.txt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统计文件结果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├── Report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生成的报告文件目录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└── Sample.pdf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生成的乳腺癌风险筛查报告文件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└── SNP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生成的变异结果目录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 xml:space="preserve">    └── Filtered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生成的过滤后的结果文件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 xml:space="preserve">       └── Sample.sort.recal.ug.filtered.vcf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生成的变异结果文件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  <w:highlight w:val="none"/>
        </w:rPr>
      </w:pP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输出目录主要包含</w:t>
      </w:r>
      <w:r>
        <w:rPr>
          <w:rFonts w:hint="default" w:ascii="Times New Roman" w:hAnsi="宋体" w:eastAsia="宋体" w:cs="Times New Roman"/>
          <w:sz w:val="21"/>
          <w:szCs w:val="21"/>
          <w:highlight w:val="none"/>
        </w:rPr>
        <w:t>与参考人类基因组</w:t>
      </w: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比对结果数据（Mapping目录）、SNP和INDEL检测结果目录（SNP目录）、SNP和INDEL</w:t>
      </w:r>
      <w:r>
        <w:rPr>
          <w:rFonts w:hint="default" w:ascii="Times New Roman" w:hAnsi="宋体" w:eastAsia="宋体" w:cs="Times New Roman"/>
          <w:sz w:val="21"/>
          <w:szCs w:val="21"/>
          <w:highlight w:val="none"/>
        </w:rPr>
        <w:t>解析</w:t>
      </w: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结果目录（Annotation目录）、</w:t>
      </w:r>
      <w:r>
        <w:rPr>
          <w:rFonts w:hint="default" w:ascii="Times New Roman" w:hAnsi="宋体" w:eastAsia="宋体" w:cs="Times New Roman"/>
          <w:sz w:val="21"/>
          <w:szCs w:val="21"/>
          <w:highlight w:val="none"/>
        </w:rPr>
        <w:t>生成报告文件目录（Report目录）</w:t>
      </w: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。主要包含的文件如下</w:t>
      </w:r>
      <w:r>
        <w:rPr>
          <w:rFonts w:ascii="Times New Roman" w:hAnsi="宋体" w:eastAsia="宋体" w:cs="Times New Roman"/>
          <w:sz w:val="21"/>
          <w:szCs w:val="21"/>
          <w:highlight w:val="none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Sample.result.xls</w:t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</w:t>
      </w:r>
      <w:r>
        <w:rPr>
          <w:rFonts w:hint="default" w:hAnsi="宋体" w:eastAsia="宋体" w:cs="Times New Roman" w:asciiTheme="majorAscii"/>
          <w:sz w:val="21"/>
          <w:szCs w:val="21"/>
        </w:rPr>
        <w:t>解析</w:t>
      </w:r>
      <w:r>
        <w:rPr>
          <w:rFonts w:hint="eastAsia" w:hAnsi="宋体" w:eastAsia="宋体" w:cs="Times New Roman" w:asciiTheme="majorAscii"/>
          <w:sz w:val="21"/>
          <w:szCs w:val="21"/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Sample.summary.txt</w:t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统计文件结果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Sample.sort.recal.ug.filtered.vcf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生成的变异结果文件</w:t>
      </w:r>
      <w:r>
        <w:rPr>
          <w:rFonts w:hint="default" w:hAnsi="宋体" w:eastAsia="宋体" w:cs="Times New Roman" w:asciiTheme="majorAscii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Sample.pdf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生成的乳腺癌风险筛查报告文件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4"/>
        <w:numPr>
          <w:ilvl w:val="2"/>
          <w:numId w:val="2"/>
        </w:numPr>
        <w:tabs>
          <w:tab w:val="left" w:pos="720"/>
        </w:tabs>
        <w:spacing w:line="360" w:lineRule="auto"/>
        <w:rPr>
          <w:sz w:val="21"/>
          <w:szCs w:val="21"/>
        </w:rPr>
      </w:pPr>
      <w:bookmarkStart w:id="4" w:name="_Toc390093122"/>
      <w:r>
        <w:rPr>
          <w:sz w:val="21"/>
          <w:szCs w:val="21"/>
        </w:rPr>
        <w:t>配置文件</w:t>
      </w:r>
      <w:bookmarkEnd w:id="4"/>
    </w:p>
    <w:p>
      <w:pPr>
        <w:spacing w:line="360" w:lineRule="auto"/>
        <w:ind w:left="42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基本分析的配置文件包含数据文件、程序所需参数值等，如下所示：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drawing>
          <wp:inline distT="0" distB="0" distL="114300" distR="114300">
            <wp:extent cx="4048760" cy="2962910"/>
            <wp:effectExtent l="0" t="0" r="8890" b="8890"/>
            <wp:docPr id="8" name="图片 8" descr="未命名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说明：</w:t>
      </w:r>
    </w:p>
    <w:p>
      <w:pPr>
        <w:spacing w:line="360" w:lineRule="auto"/>
        <w:ind w:left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C01-1: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双端测序fastq reads1文件</w:t>
      </w:r>
    </w:p>
    <w:p>
      <w:pPr>
        <w:spacing w:line="360" w:lineRule="auto"/>
        <w:ind w:left="42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C01-2: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双端测序fastq reads2文件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Ref：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参考基因组fa序列文件路径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RefLen：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参考基因组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碱基数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ChrNum：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物种的染色体数量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Ploidy：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样本的倍体数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Ins：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插入片段大小</w:t>
      </w:r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Dbsnp：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Dbsnp数据库文件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BED：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基因区间文件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</w:p>
    <w:p>
      <w:pPr>
        <w:pStyle w:val="3"/>
        <w:numPr>
          <w:ilvl w:val="1"/>
          <w:numId w:val="2"/>
        </w:numPr>
        <w:tabs>
          <w:tab w:val="left" w:pos="720"/>
        </w:tabs>
        <w:spacing w:line="360" w:lineRule="auto"/>
        <w:rPr>
          <w:rFonts w:ascii="Times New Roman" w:hAnsi="Times New Roman" w:eastAsia="宋体"/>
          <w:sz w:val="21"/>
          <w:szCs w:val="21"/>
        </w:rPr>
      </w:pPr>
      <w:bookmarkStart w:id="5" w:name="_Toc444571716"/>
      <w:bookmarkStart w:id="6" w:name="_Toc390093123"/>
      <w:r>
        <w:rPr>
          <w:rFonts w:ascii="Times New Roman" w:hAnsi="Times New Roman" w:eastAsia="宋体"/>
          <w:sz w:val="21"/>
          <w:szCs w:val="21"/>
        </w:rPr>
        <w:t>运行</w:t>
      </w:r>
      <w:bookmarkEnd w:id="5"/>
      <w:bookmarkEnd w:id="6"/>
    </w:p>
    <w:p>
      <w:pPr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在shell命令行运行命令：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="420" w:firstLine="431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perl AiRuKang_Main_Pair.pl-c 配置文件 -p 输出文件前缀 -od 输出文件夹 -addfile2 受检者信息配置文件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命令行参数参见用法：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drawing>
          <wp:inline distT="0" distB="0" distL="114300" distR="114300">
            <wp:extent cx="4552315" cy="5028565"/>
            <wp:effectExtent l="0" t="0" r="635" b="635"/>
            <wp:docPr id="5" name="图片 5" descr="图片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both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</w:p>
    <w:p>
      <w:pPr>
        <w:spacing w:line="360" w:lineRule="auto"/>
        <w:ind w:left="420" w:firstLine="431"/>
        <w:rPr>
          <w:rFonts w:hint="eastAsia" w:ascii="Times New Roman" w:hAnsi="宋体" w:eastAsia="宋体" w:cs="Times New Roman"/>
          <w:sz w:val="21"/>
          <w:szCs w:val="21"/>
        </w:rPr>
      </w:pPr>
      <w:r>
        <w:rPr>
          <w:rFonts w:hint="eastAsia" w:ascii="Times New Roman" w:hAnsi="宋体" w:eastAsia="宋体" w:cs="Times New Roman"/>
          <w:sz w:val="21"/>
          <w:szCs w:val="21"/>
        </w:rPr>
        <w:t>通过在配置文件里给出程序所需数据的路径和运行时需要的参数，在主程序运行时只需要输入一个配置文件即可。</w:t>
      </w:r>
    </w:p>
    <w:p>
      <w:pPr>
        <w:spacing w:line="360" w:lineRule="auto"/>
        <w:ind w:left="420" w:firstLine="431"/>
        <w:rPr>
          <w:rFonts w:hint="eastAsia" w:ascii="Times New Roman" w:hAnsi="宋体" w:eastAsia="宋体" w:cs="Times New Roman"/>
          <w:sz w:val="21"/>
          <w:szCs w:val="21"/>
        </w:rPr>
      </w:pPr>
      <w:r>
        <w:rPr>
          <w:rFonts w:hint="eastAsia" w:ascii="Times New Roman" w:hAnsi="宋体" w:eastAsia="宋体" w:cs="Times New Roman"/>
          <w:sz w:val="21"/>
          <w:szCs w:val="21"/>
        </w:rPr>
        <w:t>软件可分步骤运行，通过 -start、-end来选择起始和结束步骤，或者-assign来选择指定步骤，可以实现对软件运行的控制。</w:t>
      </w:r>
    </w:p>
    <w:p>
      <w:pPr>
        <w:spacing w:line="360" w:lineRule="auto"/>
        <w:rPr>
          <w:rFonts w:hint="default" w:ascii="Times New Roman" w:hAnsi="宋体" w:cs="Times New Roman"/>
          <w:sz w:val="21"/>
          <w:szCs w:val="21"/>
        </w:rPr>
      </w:pPr>
    </w:p>
    <w:p>
      <w:pPr>
        <w:pStyle w:val="2"/>
        <w:rPr>
          <w:rFonts w:hint="eastAsia"/>
        </w:rPr>
      </w:pPr>
      <w:bookmarkStart w:id="7" w:name="_Toc221958977"/>
      <w:r>
        <w:rPr>
          <w:rFonts w:hint="default"/>
        </w:rPr>
        <w:t>2. 技术路线</w:t>
      </w:r>
      <w:bookmarkEnd w:id="7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  <w:sectPr>
          <w:pgSz w:w="11906" w:h="16838"/>
          <w:pgNumType w:fmt="decimal"/>
          <w:docGrid w:type="lines" w:linePitch="312" w:charSpace="0"/>
        </w:sectPr>
      </w:pPr>
    </w:p>
    <w:p>
      <w:pPr>
        <w:rPr>
          <w:rStyle w:val="33"/>
          <w:rFonts w:hint="eastAsia"/>
        </w:rPr>
      </w:pPr>
      <w:bookmarkStart w:id="8" w:name="_Toc2099014030"/>
      <w:r>
        <w:rPr>
          <w:rStyle w:val="33"/>
          <w:rFonts w:hint="default"/>
        </w:rPr>
        <w:t>2.1</w:t>
      </w:r>
      <w:r>
        <w:rPr>
          <w:rStyle w:val="33"/>
          <w:rFonts w:hint="eastAsia"/>
        </w:rPr>
        <w:t>数据评估</w:t>
      </w:r>
    </w:p>
    <w:bookmarkEnd w:id="8"/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测序数据量，测序数据质量和GC含量的统计。</w:t>
      </w:r>
    </w:p>
    <w:tbl>
      <w:tblPr>
        <w:tblStyle w:val="18"/>
        <w:tblW w:w="7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72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fastq_qc_stat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v1.1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./fastq_qc_stat -a read_a.fq -b read_b.fq 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-a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双端测序1reads1文件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-b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双端测序1reads2文件</w:t>
            </w:r>
          </w:p>
        </w:tc>
      </w:tr>
    </w:tbl>
    <w:p>
      <w:pPr>
        <w:numPr>
          <w:ilvl w:val="0"/>
          <w:numId w:val="0"/>
        </w:numPr>
        <w:tabs>
          <w:tab w:val="clear" w:pos="360"/>
        </w:tabs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360"/>
        </w:tabs>
        <w:rPr>
          <w:rStyle w:val="33"/>
          <w:rFonts w:hint="default"/>
        </w:rPr>
      </w:pPr>
      <w:bookmarkStart w:id="9" w:name="_Toc990316699"/>
      <w:r>
        <w:rPr>
          <w:rStyle w:val="33"/>
          <w:rFonts w:hint="default"/>
        </w:rPr>
        <w:t>2.2</w:t>
      </w:r>
      <w:r>
        <w:rPr>
          <w:rStyle w:val="33"/>
          <w:rFonts w:hint="default" w:ascii="Arial"/>
        </w:rPr>
        <w:t xml:space="preserve"> 比对</w:t>
      </w:r>
    </w:p>
    <w:bookmarkEnd w:id="9"/>
    <w:p>
      <w:pPr>
        <w:numPr>
          <w:ilvl w:val="0"/>
          <w:numId w:val="0"/>
        </w:numPr>
        <w:tabs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与基因组比对，</w:t>
      </w:r>
      <w:r>
        <w:rPr>
          <w:rFonts w:hint="eastAsia"/>
          <w:sz w:val="21"/>
          <w:szCs w:val="21"/>
        </w:rPr>
        <w:t>基因组覆盖度，基因组覆盖深度统计。</w:t>
      </w:r>
    </w:p>
    <w:tbl>
      <w:tblPr>
        <w:tblStyle w:val="18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81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bwa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0.7.1-r347</w:t>
            </w:r>
          </w:p>
        </w:tc>
      </w:tr>
      <w:tr>
        <w:trPr>
          <w:trHeight w:val="54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bwa mem -M -t 10 ref.genome.fa Sample_good_1.fq Sample_good_2.fq &gt; sample.bam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-M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将短的比对热点标记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使用的线程数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pStyle w:val="3"/>
        <w:rPr>
          <w:rFonts w:hint="eastAsia"/>
        </w:rPr>
      </w:pPr>
      <w:bookmarkStart w:id="10" w:name="_Toc1310455558"/>
      <w:r>
        <w:rPr>
          <w:rFonts w:hint="default"/>
        </w:rPr>
        <w:t>2.3 Bam文件预处理</w:t>
      </w:r>
      <w:bookmarkEnd w:id="10"/>
    </w:p>
    <w:p>
      <w:pPr>
        <w:numPr>
          <w:ilvl w:val="0"/>
          <w:numId w:val="3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去除PCR扩增后的重复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5938"/>
      </w:tblGrid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picard-tools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MarkDuplicates.jar REMOVE_DUPLICATES=true INPUT=Sample.sort.bam OUTPUT=Sample.dedup.bam METRICS_FILE=Sample.dedup.metrics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REMOVE_DUPLICATES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  <w:t>删除重复的reads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INPUT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输入文件，为排序后的bam文件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OUTPUT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输出文件，为去重复后的bam文件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METRICS_FILE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重复后的数据文件</w:t>
            </w:r>
          </w:p>
        </w:tc>
      </w:tr>
    </w:tbl>
    <w:p>
      <w:pPr>
        <w:numPr>
          <w:ilvl w:val="0"/>
          <w:numId w:val="0"/>
        </w:numPr>
        <w:tabs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br w:type="textWrapping"/>
      </w:r>
    </w:p>
    <w:p>
      <w:pPr>
        <w:numPr>
          <w:ilvl w:val="0"/>
          <w:numId w:val="3"/>
        </w:numPr>
        <w:tabs>
          <w:tab w:val="left" w:pos="2011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局部重新比对</w:t>
      </w: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A)</w:t>
      </w:r>
      <w:r>
        <w:rPr>
          <w:rFonts w:hint="default"/>
          <w:sz w:val="21"/>
          <w:szCs w:val="21"/>
        </w:rPr>
        <w:tab/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810"/>
      </w:tblGrid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3.0.0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java -jar GenomeAnalysisTK.jar -T RealignerTargetCreator -I Sample.dedup.bam -R ref.genome.fa -o Sample.dedup.realn.intervals -L target.bed 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输出的中间文件</w:t>
            </w:r>
          </w:p>
        </w:tc>
      </w:tr>
    </w:tbl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6058"/>
      </w:tblGrid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GenomeAnalysisTK.jar  -T IndelRealigner -I Sample.dedup.bam -R ref.genome.fa -L target.bed   -targetIntervals  Sample.dedup.realn.intervals  -o Sample.dedup.realn.bam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058" w:type="dxa"/>
            <w:tcBorders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-targetIntervals 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上一步生成的中间文件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058" w:type="dxa"/>
            <w:tcBorders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输出的bam文件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2011"/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2011"/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2011"/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</w:rPr>
        <w:t>reads的碱基质量值进行重新校正</w:t>
      </w: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/>
          <w:sz w:val="21"/>
          <w:szCs w:val="21"/>
        </w:rPr>
        <w:t xml:space="preserve"> A)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658"/>
      </w:tblGrid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3.0.0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GenomeAnalysisTK.jar  -T BaseRecalibrator  -R ref.genome.fa -I Sample.dedup.realn.bam -L target.bed  -knownSites dbsnp_138.hg19.vcf -mte -nct 4 -o Sample.dedup.realn.recal.table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输出的中间文件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-knownSites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已知变异位点 dbsnp_138.hg19.vcf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810"/>
      </w:tblGrid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GenomeAnalysisTK.jar -T PrintReads -R ref.genome.fa -I Sample.dedup.realn.bam -L target.bed  -knownSites dbsnp_138.hg19.vcf -mte -nct 4 -o Sample.dedup.realn.recal.table  -BQSR Sample.dedup.realn.recal.table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输出的中间文件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-BQSR 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上一步生成的校正文件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3"/>
        <w:rPr>
          <w:rFonts w:hint="eastAsia"/>
        </w:rPr>
      </w:pPr>
      <w:bookmarkStart w:id="11" w:name="_Toc1742217037"/>
      <w:r>
        <w:rPr>
          <w:rFonts w:hint="default"/>
        </w:rPr>
        <w:t>2.4</w:t>
      </w:r>
      <w:r>
        <w:rPr>
          <w:rFonts w:hint="eastAsia"/>
        </w:rPr>
        <w:t>变异检测和注释</w:t>
      </w:r>
      <w:bookmarkEnd w:id="11"/>
    </w:p>
    <w:p>
      <w:pPr>
        <w:numPr>
          <w:ilvl w:val="0"/>
          <w:numId w:val="0"/>
        </w:numPr>
        <w:tabs>
          <w:tab w:val="clear" w:pos="360"/>
        </w:tabs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</w:rPr>
        <w:t>SNP、InDel的检测和注释。</w:t>
      </w:r>
    </w:p>
    <w:p>
      <w:pPr>
        <w:numPr>
          <w:ilvl w:val="0"/>
          <w:numId w:val="4"/>
        </w:numPr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变异位点检测</w:t>
      </w:r>
    </w:p>
    <w:p>
      <w:pPr>
        <w:numPr>
          <w:ilvl w:val="0"/>
          <w:numId w:val="0"/>
        </w:numPr>
        <w:tabs>
          <w:tab w:val="clear" w:pos="360"/>
        </w:tabs>
        <w:rPr>
          <w:rFonts w:hint="default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A）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658"/>
      </w:tblGrid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samtools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1.2.1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samtools mpileup -f ref.genome.fa -l target.bed Sample.dedup.realn.recal.table &gt; mpileup.out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mpileup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mpileup.out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变异输出文件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default" w:ascii="文泉驿微米黑" w:hAnsi="文泉驿微米黑" w:eastAsia="文泉驿微米黑" w:cs="文泉驿微米黑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360"/>
        </w:tabs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B）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2"/>
        <w:gridCol w:w="6418"/>
      </w:tblGrid>
      <w:tr>
        <w:trPr>
          <w:trHeight w:val="285" w:hRule="atLeast"/>
        </w:trPr>
        <w:tc>
          <w:tcPr>
            <w:tcW w:w="15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41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VarScan</w:t>
            </w:r>
          </w:p>
        </w:tc>
      </w:tr>
      <w:tr>
        <w:trPr>
          <w:trHeight w:val="285" w:hRule="atLeast"/>
        </w:trPr>
        <w:tc>
          <w:tcPr>
            <w:tcW w:w="15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41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2.3.9</w:t>
            </w:r>
          </w:p>
        </w:tc>
      </w:tr>
      <w:tr>
        <w:trPr>
          <w:trHeight w:val="285" w:hRule="atLeast"/>
        </w:trPr>
        <w:tc>
          <w:tcPr>
            <w:tcW w:w="15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41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VarScan.v2.3.9.jar mpileup2cns mpileup.out --output-vcf 1 -min-var-freq 0.001 &gt; test.vcf</w:t>
            </w:r>
          </w:p>
        </w:tc>
      </w:tr>
      <w:tr>
        <w:trPr>
          <w:trHeight w:val="285" w:hRule="atLeast"/>
        </w:trPr>
        <w:tc>
          <w:tcPr>
            <w:tcW w:w="15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--output-vcf</w:t>
            </w:r>
          </w:p>
        </w:tc>
        <w:tc>
          <w:tcPr>
            <w:tcW w:w="641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输出文件格式</w:t>
            </w:r>
          </w:p>
        </w:tc>
      </w:tr>
      <w:tr>
        <w:trPr>
          <w:trHeight w:val="285" w:hRule="atLeast"/>
        </w:trPr>
        <w:tc>
          <w:tcPr>
            <w:tcW w:w="15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-min-var-freq</w:t>
            </w:r>
          </w:p>
        </w:tc>
        <w:tc>
          <w:tcPr>
            <w:tcW w:w="641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输出最小频率阈值0.1%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5"/>
        </w:numPr>
        <w:suppressAutoHyphens/>
        <w:bidi w:val="0"/>
        <w:jc w:val="both"/>
        <w:rPr>
          <w:rFonts w:hint="default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变异结果注释</w:t>
      </w: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ind w:firstLine="420" w:firstLineChars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使用Annovar软件包以及爱汝康数据库（V1.5）进行注释</w:t>
      </w:r>
    </w:p>
    <w:tbl>
      <w:tblPr>
        <w:tblStyle w:val="18"/>
        <w:tblW w:w="8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6810"/>
      </w:tblGrid>
      <w:tr>
        <w:trPr>
          <w:trHeight w:val="285" w:hRule="atLeast"/>
        </w:trPr>
        <w:tc>
          <w:tcPr>
            <w:tcW w:w="207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程序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Anno_main.pl</w:t>
            </w:r>
          </w:p>
        </w:tc>
      </w:tr>
      <w:tr>
        <w:trPr>
          <w:trHeight w:val="285" w:hRule="atLeast"/>
        </w:trPr>
        <w:tc>
          <w:tcPr>
            <w:tcW w:w="207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perl Anno_main.pl -Step 1,2,3 -Outdir .Analysis -Sample sample -Prefix prefix</w:t>
            </w:r>
          </w:p>
        </w:tc>
      </w:tr>
      <w:tr>
        <w:trPr>
          <w:trHeight w:val="285" w:hRule="atLeast"/>
        </w:trPr>
        <w:tc>
          <w:tcPr>
            <w:tcW w:w="207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-Step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注释步骤（1.Annovar注释；2.爱汝康数据库;3.注释整合）</w:t>
            </w:r>
          </w:p>
        </w:tc>
      </w:tr>
      <w:tr>
        <w:trPr>
          <w:trHeight w:val="285" w:hRule="atLeast"/>
        </w:trPr>
        <w:tc>
          <w:tcPr>
            <w:tcW w:w="207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-Outdir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输出文件夹</w:t>
            </w:r>
          </w:p>
        </w:tc>
      </w:tr>
      <w:tr>
        <w:trPr>
          <w:trHeight w:val="285" w:hRule="atLeast"/>
        </w:trPr>
        <w:tc>
          <w:tcPr>
            <w:tcW w:w="207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-Sample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样本名称</w:t>
            </w:r>
          </w:p>
        </w:tc>
      </w:tr>
      <w:tr>
        <w:trPr>
          <w:trHeight w:val="285" w:hRule="atLeast"/>
        </w:trPr>
        <w:tc>
          <w:tcPr>
            <w:tcW w:w="207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-Prefix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前缀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numPr>
          <w:ilvl w:val="0"/>
          <w:numId w:val="5"/>
        </w:numPr>
        <w:rPr>
          <w:rFonts w:hint="default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注释结果判定规则</w:t>
      </w: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tbl>
      <w:tblPr>
        <w:tblStyle w:val="18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6840"/>
      </w:tblGrid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列编号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意义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判定方法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阳性</w:t>
            </w:r>
            <w:r>
              <w:rPr>
                <w:rStyle w:val="31"/>
                <w:rFonts w:eastAsia="宋体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阴性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变异位点可在数据库中检出且突变频率&gt;10%为阳性。其余为阴性。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是否在数据库中检出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已在数据库中检出标写数据库，未在数据库用“-”表示。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是否通过质控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位点测序深度&gt;20为Pass，其余为Faild。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测序深度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为实际测序深度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变异频率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为Varscan检测出的变异频率,0.1%一下默认为0%。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纯合/杂合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变异位点情况，若突变频率&lt;10%,默认为纯合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变异类型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根据数据库中注释的非同义突变/非同义突变，其余为其他突变。</w:t>
            </w:r>
          </w:p>
        </w:tc>
      </w:tr>
      <w:tr>
        <w:trPr>
          <w:trHeight w:val="39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第8列</w:t>
            </w:r>
          </w:p>
        </w:tc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临床意义</w:t>
            </w:r>
          </w:p>
        </w:tc>
        <w:tc>
          <w:tcPr>
            <w:tcW w:w="684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根据Clinvar中的临床意义判定，若pathogenic为有害突变，benign为无害突变。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3"/>
        <w:rPr>
          <w:rFonts w:hint="default"/>
        </w:rPr>
      </w:pPr>
      <w:bookmarkStart w:id="12" w:name="_Toc1369385446"/>
      <w:r>
        <w:rPr>
          <w:rFonts w:hint="default"/>
        </w:rPr>
        <w:t>2.5生成爱汝康报告</w:t>
      </w:r>
      <w:bookmarkEnd w:id="12"/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default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通过使用perl调用latex实现PDF报告生成。</w:t>
      </w: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default" w:ascii="文泉驿微米黑" w:hAnsi="文泉驿微米黑" w:eastAsia="文泉驿微米黑" w:cs="文泉驿微米黑"/>
          <w:sz w:val="21"/>
          <w:szCs w:val="21"/>
        </w:rPr>
      </w:pPr>
    </w:p>
    <w:tbl>
      <w:tblPr>
        <w:tblStyle w:val="18"/>
        <w:tblW w:w="8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6808"/>
      </w:tblGrid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程序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ARK_tex.pl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perl ARK_tex.pl -Result_file result.xls -Parameter_file parameter.txt -Output_directory ./Report 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-Result_file 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注释结果文件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-Parameter_file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样本信息文件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-Output_directory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输出文件夹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2"/>
        <w:rPr>
          <w:rFonts w:hint="default"/>
        </w:rPr>
      </w:pPr>
      <w:bookmarkStart w:id="13" w:name="_Toc483963354"/>
      <w:r>
        <w:rPr>
          <w:rFonts w:hint="default"/>
        </w:rPr>
        <w:t>3.声明</w:t>
      </w:r>
      <w:bookmarkEnd w:id="13"/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本软件仅对单次样本进行解析，随着数据库的更新完善将解读更进一步的结果。</w:t>
      </w:r>
    </w:p>
    <w:sectPr>
      <w:pgSz w:w="11906" w:h="16838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Droid Sans [unknown]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Times New Roman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alibri">
    <w:panose1 w:val="020F0502020204030204"/>
    <w:charset w:val="01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alibri">
    <w:panose1 w:val="020F0502020204030204"/>
    <w:charset w:val="01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nBatang">
    <w:altName w:val="宋体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大标宋简体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mex10">
    <w:altName w:val="TakaoPGothic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迷你简硬笔楷书">
    <w:altName w:val="楷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alibri">
    <w:panose1 w:val="020F0502020204030204"/>
    <w:charset w:val="01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4" w:space="1"/>
      </w:pBdr>
      <w:jc w:val="left"/>
    </w:pPr>
    <w:r>
      <w:rPr>
        <w:sz w:val="18"/>
      </w:rPr>
      <w:pict>
        <v:shape id="PowerPlusWaterMarkObject169793677" o:spid="_x0000_s4098" o:spt="136" type="#_x0000_t136" style="position:absolute;left:0pt;height:120.75pt;width:211.7pt;mso-position-horizontal:center;mso-position-horizontal-relative:margin;mso-position-vertical:center;mso-position-vertical-relative:margin;rotation:-2949120f;z-index:-251650048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  <w:r>
      <w:t>百迈客医学检验所                                                                 内布文件：[爱汝康分析报告软件V2.0]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none" w:color="auto" w:sz="0" w:space="1"/>
      </w:pBdr>
    </w:pPr>
    <w:r>
      <w:rPr>
        <w:sz w:val="18"/>
      </w:rPr>
      <w:pict>
        <v:shape id="PowerPlusWaterMarkObject169793677" o:spid="_x0000_s4097" o:spt="136" type="#_x0000_t136" style="position:absolute;left:0pt;height:120.75pt;width:211.7pt;mso-position-horizontal:center;mso-position-horizontal-relative:margin;mso-position-vertical:center;mso-position-vertical-relative:margin;rotation:-2949120f;z-index:-251649024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808024">
    <w:nsid w:val="578C3B58"/>
    <w:multiLevelType w:val="singleLevel"/>
    <w:tmpl w:val="578C3B58"/>
    <w:lvl w:ilvl="0" w:tentative="1">
      <w:start w:val="1"/>
      <w:numFmt w:val="decimal"/>
      <w:suff w:val="nothing"/>
      <w:lvlText w:val="%1."/>
      <w:lvlJc w:val="left"/>
    </w:lvl>
  </w:abstractNum>
  <w:abstractNum w:abstractNumId="1141269580">
    <w:nsid w:val="4406644C"/>
    <w:multiLevelType w:val="multilevel"/>
    <w:tmpl w:val="4406644C"/>
    <w:lvl w:ilvl="0" w:tentative="1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720"/>
        </w:tabs>
        <w:ind w:left="720" w:hanging="720"/>
      </w:pPr>
      <w:rPr>
        <w:rFonts w:hint="default"/>
        <w:sz w:val="36"/>
        <w:szCs w:val="36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Arial Unicode MS" w:cs="Times New Roman"/>
        <w:b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468579823">
    <w:nsid w:val="5788BFEF"/>
    <w:multiLevelType w:val="singleLevel"/>
    <w:tmpl w:val="5788BFEF"/>
    <w:lvl w:ilvl="0" w:tentative="1">
      <w:start w:val="1"/>
      <w:numFmt w:val="decimal"/>
      <w:suff w:val="nothing"/>
      <w:lvlText w:val="(%1)"/>
      <w:lvlJc w:val="left"/>
    </w:lvl>
  </w:abstractNum>
  <w:abstractNum w:abstractNumId="1468576936">
    <w:nsid w:val="5788B4A8"/>
    <w:multiLevelType w:val="singleLevel"/>
    <w:tmpl w:val="5788B4A8"/>
    <w:lvl w:ilvl="0" w:tentative="1">
      <w:start w:val="1"/>
      <w:numFmt w:val="decimal"/>
      <w:suff w:val="nothing"/>
      <w:lvlText w:val="（%1）"/>
      <w:lvlJc w:val="left"/>
    </w:lvl>
  </w:abstractNum>
  <w:abstractNum w:abstractNumId="1468580468">
    <w:nsid w:val="5788C274"/>
    <w:multiLevelType w:val="singleLevel"/>
    <w:tmpl w:val="5788C274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68808024"/>
  </w:num>
  <w:num w:numId="2">
    <w:abstractNumId w:val="1141269580"/>
  </w:num>
  <w:num w:numId="3">
    <w:abstractNumId w:val="1468576936"/>
  </w:num>
  <w:num w:numId="4">
    <w:abstractNumId w:val="1468579823"/>
  </w:num>
  <w:num w:numId="5">
    <w:abstractNumId w:val="1468580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E9F1"/>
    <w:rsid w:val="2EAED943"/>
    <w:rsid w:val="3B8FC0E4"/>
    <w:rsid w:val="3EBDA270"/>
    <w:rsid w:val="3FF6C92F"/>
    <w:rsid w:val="4F7D8F97"/>
    <w:rsid w:val="517DF6E1"/>
    <w:rsid w:val="67F3E256"/>
    <w:rsid w:val="6D7DE001"/>
    <w:rsid w:val="6EFF1E69"/>
    <w:rsid w:val="6FD462CD"/>
    <w:rsid w:val="7567703E"/>
    <w:rsid w:val="77B77500"/>
    <w:rsid w:val="791F63DC"/>
    <w:rsid w:val="792F4674"/>
    <w:rsid w:val="7AD78DE0"/>
    <w:rsid w:val="7B7F1BA6"/>
    <w:rsid w:val="7EAFD61C"/>
    <w:rsid w:val="7EFC994F"/>
    <w:rsid w:val="7F722956"/>
    <w:rsid w:val="7FBFAE49"/>
    <w:rsid w:val="7FDE7549"/>
    <w:rsid w:val="7FDF28D1"/>
    <w:rsid w:val="96D7DC57"/>
    <w:rsid w:val="9B410878"/>
    <w:rsid w:val="9D9EA076"/>
    <w:rsid w:val="A711D554"/>
    <w:rsid w:val="A7E74C25"/>
    <w:rsid w:val="AF7D4815"/>
    <w:rsid w:val="AFE5A6EE"/>
    <w:rsid w:val="AFFF0688"/>
    <w:rsid w:val="BFF73B06"/>
    <w:rsid w:val="DB296778"/>
    <w:rsid w:val="DE3F8141"/>
    <w:rsid w:val="DF70C205"/>
    <w:rsid w:val="DFEB362C"/>
    <w:rsid w:val="F6A71606"/>
    <w:rsid w:val="F97FD910"/>
    <w:rsid w:val="FF7F9FB7"/>
    <w:rsid w:val="FF7FD79C"/>
    <w:rsid w:val="FFCB7D58"/>
    <w:rsid w:val="FFD77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Normal (Web)"/>
    <w:basedOn w:val="1"/>
    <w:uiPriority w:val="0"/>
    <w:pPr>
      <w:spacing w:before="0" w:after="280"/>
      <w:jc w:val="left"/>
    </w:pPr>
    <w:rPr>
      <w:sz w:val="24"/>
      <w:lang w:val="en-US" w:eastAsia="zh-CN" w:bidi="ar"/>
    </w:rPr>
  </w:style>
  <w:style w:type="paragraph" w:customStyle="1" w:styleId="19">
    <w:name w:val="标题 11"/>
    <w:basedOn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sz w:val="44"/>
      <w:szCs w:val="44"/>
    </w:rPr>
  </w:style>
  <w:style w:type="paragraph" w:customStyle="1" w:styleId="20">
    <w:name w:val="标题 21"/>
    <w:basedOn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customStyle="1" w:styleId="21">
    <w:name w:val="标题 31"/>
    <w:basedOn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ListLabel 1"/>
    <w:uiPriority w:val="0"/>
    <w:rPr>
      <w:sz w:val="36"/>
      <w:szCs w:val="36"/>
    </w:rPr>
  </w:style>
  <w:style w:type="character" w:customStyle="1" w:styleId="23">
    <w:name w:val="ListLabel 2"/>
    <w:uiPriority w:val="0"/>
    <w:rPr>
      <w:rFonts w:eastAsia="Arial Unicode MS" w:cs="Times New Roman"/>
      <w:b/>
    </w:rPr>
  </w:style>
  <w:style w:type="paragraph" w:customStyle="1" w:styleId="24">
    <w:name w:val="标题1"/>
    <w:basedOn w:val="1"/>
    <w:next w:val="25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5">
    <w:name w:val="正文1"/>
    <w:basedOn w:val="1"/>
    <w:uiPriority w:val="0"/>
    <w:pPr>
      <w:spacing w:before="0" w:after="140" w:line="288" w:lineRule="auto"/>
    </w:pPr>
  </w:style>
  <w:style w:type="paragraph" w:customStyle="1" w:styleId="26">
    <w:name w:val="列表1"/>
    <w:basedOn w:val="25"/>
    <w:uiPriority w:val="0"/>
  </w:style>
  <w:style w:type="paragraph" w:customStyle="1" w:styleId="27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8">
    <w:name w:val="索引"/>
    <w:basedOn w:val="1"/>
    <w:uiPriority w:val="0"/>
    <w:pPr>
      <w:suppressLineNumbers/>
    </w:pPr>
  </w:style>
  <w:style w:type="character" w:customStyle="1" w:styleId="29">
    <w:name w:val="font1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30">
    <w:name w:val="font01"/>
    <w:basedOn w:val="17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1">
    <w:name w:val="font21"/>
    <w:basedOn w:val="17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2">
    <w:name w:val="标题 1 Char"/>
    <w:link w:val="2"/>
    <w:uiPriority w:val="0"/>
    <w:rPr>
      <w:b/>
      <w:kern w:val="44"/>
      <w:sz w:val="44"/>
    </w:rPr>
  </w:style>
  <w:style w:type="character" w:customStyle="1" w:styleId="33">
    <w:name w:val="标题 2 Char"/>
    <w:link w:val="3"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2016-07-17T02:13:00Z</dcterms:created>
  <dc:creator>bmk</dc:creator>
  <cp:lastModifiedBy>xudd</cp:lastModifiedBy>
  <dcterms:modified xsi:type="dcterms:W3CDTF">2016-07-21T09:40:20Z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