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8"/>
        <w:tblW w:w="9026" w:type="dxa"/>
        <w:jc w:val="center"/>
        <w:tblInd w:w="0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3339"/>
        <w:gridCol w:w="3011"/>
      </w:tblGrid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  <w:shd w:val="clear" w:fill="FFFF00"/>
              </w:rPr>
            </w:pPr>
            <w:r>
              <w:rPr>
                <w:rFonts w:ascii="宋体" w:hAnsi="宋体"/>
                <w:bCs/>
                <w:szCs w:val="21"/>
              </w:rPr>
              <w:t>文件编号：</w:t>
            </w:r>
            <w:r>
              <w:rPr>
                <w:rFonts w:ascii="宋体" w:hAnsi="宋体"/>
                <w:bCs/>
                <w:szCs w:val="21"/>
                <w:shd w:val="clear" w:fill="FFFF00"/>
              </w:rPr>
              <w:t>SOP-XX-110</w:t>
            </w:r>
          </w:p>
        </w:tc>
        <w:tc>
          <w:tcPr>
            <w:tcW w:w="3339" w:type="dxa"/>
            <w:vMerge w:val="restart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/>
                <w:b/>
                <w:bCs/>
                <w:sz w:val="30"/>
                <w:szCs w:val="30"/>
              </w:rPr>
              <w:t>爱汝康illumina平台</w:t>
            </w:r>
          </w:p>
          <w:p>
            <w:pPr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/>
                <w:b/>
                <w:bCs/>
                <w:sz w:val="30"/>
                <w:szCs w:val="30"/>
              </w:rPr>
              <w:t>数据分析操作规范</w:t>
            </w:r>
          </w:p>
        </w:tc>
        <w:tc>
          <w:tcPr>
            <w:tcW w:w="3011" w:type="dxa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拟制人： </w:t>
            </w:r>
          </w:p>
        </w:tc>
      </w:tr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5"/>
              <w:spacing w:before="280" w:after="280" w:line="360" w:lineRule="exact"/>
              <w:jc w:val="both"/>
              <w:rPr>
                <w:sz w:val="21"/>
                <w:szCs w:val="21"/>
                <w:shd w:val="clear" w:fill="FFFF00"/>
              </w:rPr>
            </w:pPr>
            <w:r>
              <w:rPr>
                <w:sz w:val="21"/>
                <w:szCs w:val="21"/>
              </w:rPr>
              <w:t>生效日期： 2016</w:t>
            </w:r>
            <w:r>
              <w:rPr>
                <w:sz w:val="21"/>
                <w:szCs w:val="21"/>
                <w:shd w:val="clear" w:fill="FFFF00"/>
              </w:rPr>
              <w:t>.X.X</w:t>
            </w:r>
          </w:p>
        </w:tc>
        <w:tc>
          <w:tcPr>
            <w:tcW w:w="3339" w:type="dxa"/>
            <w:vMerge w:val="continue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01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审核人：</w:t>
            </w:r>
          </w:p>
        </w:tc>
      </w:tr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  <w:insideH w:val="single" w:sz="12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版    本：第一版</w:t>
            </w:r>
          </w:p>
        </w:tc>
        <w:tc>
          <w:tcPr>
            <w:tcW w:w="3339" w:type="dxa"/>
            <w:vMerge w:val="continue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6" w:space="0"/>
              <w:insideH w:val="single" w:sz="12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011" w:type="dxa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  <w:insideH w:val="single" w:sz="12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批准人：</w:t>
            </w:r>
          </w:p>
        </w:tc>
      </w:tr>
    </w:tbl>
    <w:p>
      <w:pPr>
        <w:pStyle w:val="9"/>
        <w:numPr>
          <w:ilvl w:val="0"/>
          <w:numId w:val="1"/>
        </w:numPr>
      </w:pPr>
      <w:r>
        <w:t>目的：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根据实验数据，在集群下分析，生成分析结果，结果用于生成报告。</w:t>
      </w:r>
    </w:p>
    <w:p>
      <w:pPr>
        <w:pStyle w:val="9"/>
        <w:numPr>
          <w:ilvl w:val="0"/>
          <w:numId w:val="1"/>
        </w:numPr>
      </w:pPr>
      <w:r>
        <w:t>范围：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测序下机数据，用于</w:t>
      </w:r>
      <w:r>
        <w:rPr>
          <w:color w:val="000000"/>
          <w:sz w:val="24"/>
        </w:rPr>
        <w:t>爱汝康</w:t>
      </w:r>
      <w:bookmarkStart w:id="0" w:name="_GoBack"/>
      <w:bookmarkEnd w:id="0"/>
      <w:r>
        <w:rPr>
          <w:color w:val="000000"/>
          <w:sz w:val="24"/>
        </w:rPr>
        <w:t>产品的数据分析和结果生成。</w:t>
      </w:r>
    </w:p>
    <w:p>
      <w:pPr>
        <w:pStyle w:val="9"/>
        <w:numPr>
          <w:ilvl w:val="0"/>
          <w:numId w:val="1"/>
        </w:numPr>
      </w:pPr>
      <w:r>
        <w:t>职责：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信息部。</w:t>
      </w:r>
    </w:p>
    <w:p>
      <w:pPr>
        <w:pStyle w:val="9"/>
        <w:numPr>
          <w:ilvl w:val="0"/>
          <w:numId w:val="1"/>
        </w:numPr>
      </w:pPr>
      <w:r>
        <w:t>操作步骤：</w:t>
      </w:r>
    </w:p>
    <w:p>
      <w:pPr>
        <w:pStyle w:val="10"/>
        <w:numPr>
          <w:ilvl w:val="1"/>
          <w:numId w:val="1"/>
        </w:numPr>
      </w:pPr>
      <w:r>
        <w:t>公共密钥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如果已经做过设置，则忽略公共密钥设置教程。</w:t>
      </w:r>
    </w:p>
    <w:p>
      <w:pPr>
        <w:pStyle w:val="11"/>
        <w:numPr>
          <w:ilvl w:val="2"/>
          <w:numId w:val="1"/>
        </w:numPr>
      </w:pPr>
      <w:r>
        <w:t>注意事项：</w:t>
      </w:r>
    </w:p>
    <w:p>
      <w:pPr>
        <w:pStyle w:val="12"/>
        <w:numPr>
          <w:ilvl w:val="3"/>
          <w:numId w:val="1"/>
        </w:numPr>
      </w:pPr>
      <w:r>
        <w:t>修改密码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首次登录需在10.20.4.11上进行，如果修改时有交互，回车即可。</w:t>
      </w:r>
    </w:p>
    <w:p>
      <w:pPr>
        <w:pStyle w:val="12"/>
        <w:numPr>
          <w:ilvl w:val="3"/>
          <w:numId w:val="1"/>
        </w:numPr>
        <w:ind w:left="862" w:right="0" w:hanging="862"/>
      </w:pPr>
      <w:r>
        <w:t>投放任务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登录到节点上，目前可以在此节点上跑程序。</w:t>
      </w:r>
    </w:p>
    <w:p>
      <w:pPr>
        <w:pStyle w:val="12"/>
        <w:numPr>
          <w:ilvl w:val="3"/>
          <w:numId w:val="1"/>
        </w:numPr>
        <w:ind w:left="862" w:right="0" w:hanging="862"/>
      </w:pPr>
      <w:r>
        <w:t>保存数据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申请开通工作目录后，今后的工作在工作目录进行，/home下的个人目录中仅允许放小的程序，不允许放大数据，空间有限。</w:t>
      </w:r>
    </w:p>
    <w:p>
      <w:pPr>
        <w:pStyle w:val="11"/>
        <w:numPr>
          <w:ilvl w:val="2"/>
          <w:numId w:val="1"/>
        </w:numPr>
      </w:pPr>
      <w:r>
        <w:t>秘钥生成</w:t>
      </w:r>
    </w:p>
    <w:p>
      <w:pPr>
        <w:pStyle w:val="12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生成密钥 (可忽略) 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## ssh-keygen -t rsa  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输入命令后一直按回车</w:t>
      </w:r>
    </w:p>
    <w:p>
      <w:pPr>
        <w:pStyle w:val="12"/>
        <w:numPr>
          <w:ilvl w:val="3"/>
          <w:numId w:val="1"/>
        </w:numPr>
      </w:pPr>
      <w:r>
        <w:t>切换到家目录的.ssh目录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## cd ~/.ssh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## cat id_rsa.pub &gt; authorized_keys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具体操作如下图内容：</w:t>
      </w:r>
    </w:p>
    <w:p>
      <w:pPr>
        <w:pStyle w:val="39"/>
        <w:spacing w:line="360" w:lineRule="auto"/>
        <w:ind w:left="0" w:right="0" w:firstLine="480"/>
      </w:pPr>
      <w:r>
        <w:drawing>
          <wp:inline distT="0" distB="0" distL="0" distR="0">
            <wp:extent cx="5278755" cy="64249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42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图1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公共密钥配置成功才能在集群上做下面的操作。</w:t>
      </w:r>
    </w:p>
    <w:p>
      <w:pPr>
        <w:pStyle w:val="10"/>
        <w:numPr>
          <w:ilvl w:val="1"/>
          <w:numId w:val="1"/>
        </w:numPr>
      </w:pPr>
      <w:r>
        <w:t>操作方法：</w:t>
      </w:r>
    </w:p>
    <w:p>
      <w:pPr>
        <w:pStyle w:val="11"/>
        <w:numPr>
          <w:ilvl w:val="2"/>
          <w:numId w:val="1"/>
        </w:numPr>
      </w:pPr>
      <w:r>
        <w:t>准备软件包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需要软件包Reseq ，Reseq的内容如下图1</w:t>
      </w:r>
    </w:p>
    <w:p>
      <w:pPr>
        <w:spacing w:line="360" w:lineRule="auto"/>
      </w:pPr>
      <w:r>
        <w:drawing>
          <wp:inline distT="0" distB="0" distL="0" distR="0">
            <wp:extent cx="5748655" cy="1605915"/>
            <wp:effectExtent l="0" t="0" r="0" b="0"/>
            <wp:docPr id="2" name="Picture" descr="H:\NewJob\36.S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:\NewJob\36.S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图2</w:t>
      </w:r>
    </w:p>
    <w:p>
      <w:pPr>
        <w:pStyle w:val="11"/>
        <w:numPr>
          <w:ilvl w:val="2"/>
          <w:numId w:val="1"/>
        </w:numPr>
      </w:pPr>
      <w:r>
        <w:t>准备文件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需要准备配置文件（Project  .config）和相关的一些参考文件（如SusGD_P2_capture_targets.bed）。其中（.bed）文件是为区域捕获所设计的一个文件，爱汝康应用的是区域捕获测序及分析。</w:t>
      </w:r>
    </w:p>
    <w:p>
      <w:pPr>
        <w:pStyle w:val="33"/>
        <w:spacing w:line="360" w:lineRule="auto"/>
        <w:jc w:val="left"/>
      </w:pPr>
      <w:r>
        <w:drawing>
          <wp:inline distT="0" distB="0" distL="0" distR="0">
            <wp:extent cx="3864610" cy="2640965"/>
            <wp:effectExtent l="0" t="0" r="2540" b="698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spacing w:line="360" w:lineRule="auto"/>
        <w:ind w:left="420" w:right="0" w:firstLine="0"/>
        <w:rPr>
          <w:sz w:val="21"/>
        </w:rPr>
      </w:pPr>
      <w:r>
        <w:rPr>
          <w:sz w:val="21"/>
        </w:rPr>
        <w:t>说明：</w:t>
      </w:r>
    </w:p>
    <w:p>
      <w:pPr>
        <w:pStyle w:val="33"/>
        <w:spacing w:line="360" w:lineRule="auto"/>
        <w:ind w:left="420" w:right="0" w:firstLine="0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C01-1: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eastAsia="Times New Roman"/>
          <w:sz w:val="21"/>
        </w:rPr>
        <w:t>双端测序</w:t>
      </w:r>
      <w:r>
        <w:rPr>
          <w:rFonts w:ascii="Times New Roman" w:hAnsi="Times New Roman"/>
          <w:sz w:val="21"/>
        </w:rPr>
        <w:t>fastq reads1</w:t>
      </w:r>
      <w:r>
        <w:rPr>
          <w:rFonts w:eastAsia="Times New Roman"/>
          <w:sz w:val="21"/>
        </w:rPr>
        <w:t>文件</w:t>
      </w:r>
    </w:p>
    <w:p>
      <w:pPr>
        <w:pStyle w:val="33"/>
        <w:spacing w:line="360" w:lineRule="auto"/>
        <w:ind w:left="420" w:right="0" w:firstLine="0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C01-2: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eastAsia="Times New Roman"/>
          <w:sz w:val="21"/>
        </w:rPr>
        <w:t>双端测序</w:t>
      </w:r>
      <w:r>
        <w:rPr>
          <w:rFonts w:ascii="Times New Roman" w:hAnsi="Times New Roman"/>
          <w:sz w:val="21"/>
        </w:rPr>
        <w:t>fastq reads2</w:t>
      </w:r>
      <w:r>
        <w:rPr>
          <w:rFonts w:eastAsia="Times New Roman"/>
          <w:sz w:val="21"/>
        </w:rPr>
        <w:t>文件</w:t>
      </w:r>
    </w:p>
    <w:p>
      <w:pPr>
        <w:pStyle w:val="33"/>
        <w:spacing w:line="360" w:lineRule="auto"/>
        <w:jc w:val="left"/>
        <w:rPr>
          <w:rFonts w:eastAsia="宋体"/>
          <w:sz w:val="21"/>
        </w:rPr>
      </w:pPr>
      <w:r>
        <w:rPr>
          <w:sz w:val="21"/>
        </w:rPr>
        <w:tab/>
      </w:r>
      <w:r>
        <w:rPr>
          <w:sz w:val="21"/>
        </w:rPr>
        <w:t>Ref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参考基因组</w:t>
      </w:r>
      <w:r>
        <w:rPr>
          <w:rFonts w:ascii="Times New Roman" w:hAnsi="Times New Roman"/>
          <w:sz w:val="21"/>
        </w:rPr>
        <w:t>fa</w:t>
      </w:r>
      <w:r>
        <w:rPr>
          <w:rFonts w:eastAsia="宋体"/>
          <w:sz w:val="21"/>
        </w:rPr>
        <w:t>序列文件路径</w:t>
      </w:r>
    </w:p>
    <w:p>
      <w:pPr>
        <w:pStyle w:val="33"/>
        <w:spacing w:line="360" w:lineRule="auto"/>
        <w:ind w:left="0" w:right="0" w:firstLine="420"/>
        <w:jc w:val="left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RefLen</w:t>
      </w:r>
      <w:r>
        <w:rPr>
          <w:rFonts w:eastAsia="Times New Roman"/>
          <w:sz w:val="21"/>
        </w:rPr>
        <w:t>：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sz w:val="21"/>
        </w:rPr>
        <w:t>参考基因组</w:t>
      </w:r>
      <w:r>
        <w:rPr>
          <w:rFonts w:eastAsia="Times New Roman"/>
          <w:sz w:val="21"/>
        </w:rPr>
        <w:t>碱基数</w:t>
      </w:r>
    </w:p>
    <w:p>
      <w:pPr>
        <w:pStyle w:val="33"/>
        <w:spacing w:line="360" w:lineRule="auto"/>
        <w:ind w:left="0" w:right="0" w:firstLine="420"/>
        <w:jc w:val="left"/>
        <w:rPr>
          <w:sz w:val="21"/>
        </w:rPr>
      </w:pPr>
      <w:r>
        <w:rPr>
          <w:sz w:val="21"/>
        </w:rPr>
        <w:t>ChrNum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物种的染色体数量</w:t>
      </w:r>
    </w:p>
    <w:p>
      <w:pPr>
        <w:pStyle w:val="33"/>
        <w:spacing w:line="360" w:lineRule="auto"/>
        <w:ind w:left="0" w:right="0" w:firstLine="420"/>
        <w:jc w:val="left"/>
        <w:rPr>
          <w:sz w:val="21"/>
        </w:rPr>
      </w:pPr>
      <w:r>
        <w:rPr>
          <w:sz w:val="21"/>
        </w:rPr>
        <w:t>Ploidy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样本的倍体数</w:t>
      </w:r>
    </w:p>
    <w:p>
      <w:pPr>
        <w:pStyle w:val="33"/>
        <w:spacing w:line="360" w:lineRule="auto"/>
        <w:ind w:left="0" w:right="0" w:firstLine="420"/>
        <w:jc w:val="left"/>
        <w:rPr>
          <w:sz w:val="21"/>
        </w:rPr>
      </w:pPr>
      <w:r>
        <w:rPr>
          <w:sz w:val="21"/>
        </w:rPr>
        <w:t>Ins</w:t>
      </w:r>
      <w:r>
        <w:rPr>
          <w:rFonts w:eastAsia="宋体"/>
          <w:sz w:val="21"/>
        </w:rPr>
        <w:t>：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插入片段大小</w:t>
      </w:r>
    </w:p>
    <w:p>
      <w:pPr>
        <w:pStyle w:val="33"/>
        <w:spacing w:line="360" w:lineRule="auto"/>
        <w:ind w:left="0" w:right="0" w:firstLine="420"/>
        <w:jc w:val="left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Dbsnp</w:t>
      </w:r>
      <w:r>
        <w:rPr>
          <w:rFonts w:eastAsia="Times New Roman"/>
          <w:sz w:val="21"/>
        </w:rPr>
        <w:t>：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>Dbsnp</w:t>
      </w:r>
      <w:r>
        <w:rPr>
          <w:rFonts w:eastAsia="Times New Roman"/>
          <w:sz w:val="21"/>
        </w:rPr>
        <w:t>数据库文件</w:t>
      </w:r>
    </w:p>
    <w:p>
      <w:pPr>
        <w:pStyle w:val="33"/>
        <w:spacing w:line="360" w:lineRule="auto"/>
        <w:ind w:left="0" w:right="0" w:firstLine="420"/>
        <w:jc w:val="left"/>
        <w:rPr>
          <w:rFonts w:eastAsia="Times New Roman"/>
          <w:sz w:val="21"/>
        </w:rPr>
      </w:pPr>
      <w:r>
        <w:rPr>
          <w:rFonts w:ascii="Times New Roman" w:hAnsi="Times New Roman"/>
          <w:sz w:val="21"/>
        </w:rPr>
        <w:t>BED</w:t>
      </w:r>
      <w:r>
        <w:rPr>
          <w:rFonts w:eastAsia="Times New Roman"/>
          <w:sz w:val="21"/>
        </w:rPr>
        <w:t>：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ab/>
      </w:r>
      <w:r>
        <w:rPr>
          <w:rFonts w:eastAsia="Times New Roman"/>
          <w:sz w:val="21"/>
        </w:rPr>
        <w:t>基因区间文件</w:t>
      </w:r>
    </w:p>
    <w:p>
      <w:pPr>
        <w:pStyle w:val="33"/>
      </w:pP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图3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需要准备报告配置文件（addconf2.txt），需要填写姓名（Name），年龄（Age），性别（Gender），样本类型（SampleType），样本编号（SampleNo），收样日期（Date1），报告日期（Date2）；如下图所示。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450" cy="319278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图4</w:t>
      </w:r>
    </w:p>
    <w:p>
      <w:pPr>
        <w:pStyle w:val="11"/>
        <w:numPr>
          <w:ilvl w:val="2"/>
          <w:numId w:val="1"/>
        </w:numPr>
      </w:pPr>
      <w:r>
        <w:t>运行和投放任务</w:t>
      </w:r>
    </w:p>
    <w:p>
      <w:pPr>
        <w:pStyle w:val="11"/>
      </w:pPr>
      <w:r>
        <w:t xml:space="preserve"> </w:t>
      </w:r>
    </w:p>
    <w:p>
      <w:pPr>
        <w:pStyle w:val="11"/>
        <w:widowControl/>
        <w:shd w:val="clear" w:fill="FFFFFF"/>
        <w:spacing w:line="360" w:lineRule="auto"/>
        <w:ind w:left="0" w:right="0" w:firstLine="480"/>
        <w:jc w:val="left"/>
      </w:pPr>
      <w:r>
        <w:t xml:space="preserve">perl /share/nas1/tengwj/Pipeline/AiRuKang/Varient_Main_Pair_V2.0.pl  -c Project.config -p test -od ./ -addconf2 addconf2.txt </w:t>
      </w:r>
    </w:p>
    <w:p>
      <w:pPr>
        <w:spacing w:line="360" w:lineRule="auto"/>
        <w:jc w:val="left"/>
      </w:pP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图5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-c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配置文件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-p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样本前缀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-od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输出目录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-addconf2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>报告配置文件</w:t>
      </w:r>
    </w:p>
    <w:p>
      <w:pPr>
        <w:pStyle w:val="10"/>
        <w:numPr>
          <w:ilvl w:val="1"/>
          <w:numId w:val="1"/>
        </w:numPr>
      </w:pPr>
      <w:r>
        <w:t>数据解读判定标准</w:t>
      </w:r>
    </w:p>
    <w:p>
      <w:pPr>
        <w:pStyle w:val="11"/>
        <w:numPr>
          <w:ilvl w:val="2"/>
          <w:numId w:val="1"/>
        </w:numPr>
      </w:pPr>
      <w:r>
        <w:t>样本质控标准：</w:t>
      </w:r>
    </w:p>
    <w:tbl>
      <w:tblPr>
        <w:tblStyle w:val="8"/>
        <w:tblW w:w="4996" w:type="dxa"/>
        <w:jc w:val="center"/>
        <w:tblInd w:w="0" w:type="dxa"/>
        <w:tblBorders>
          <w:top w:val="single" w:color="000001" w:sz="8" w:space="0"/>
          <w:left w:val="none" w:color="auto" w:sz="0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2"/>
        <w:gridCol w:w="816"/>
        <w:gridCol w:w="698"/>
      </w:tblGrid>
      <w:tr>
        <w:trPr>
          <w:jc w:val="center"/>
        </w:trPr>
        <w:tc>
          <w:tcPr>
            <w:tcW w:w="3482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参数</w:t>
            </w:r>
          </w:p>
        </w:tc>
        <w:tc>
          <w:tcPr>
            <w:tcW w:w="816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阈值</w:t>
            </w:r>
          </w:p>
        </w:tc>
        <w:tc>
          <w:tcPr>
            <w:tcW w:w="698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图示</w:t>
            </w:r>
          </w:p>
        </w:tc>
      </w:tr>
      <w:tr>
        <w:trPr>
          <w:jc w:val="center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Mean Depth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&gt;300X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Uniformity 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&gt;80%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3482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Target base coverage at 20x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&gt;90%</w:t>
            </w:r>
          </w:p>
        </w:tc>
        <w:tc>
          <w:tcPr>
            <w:tcW w:w="698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表1</w:t>
      </w:r>
    </w:p>
    <w:p>
      <w:pPr>
        <w:pStyle w:val="11"/>
        <w:numPr>
          <w:ilvl w:val="2"/>
          <w:numId w:val="1"/>
        </w:numPr>
      </w:pPr>
      <w:r>
        <w:t>位点质控标准：</w:t>
      </w:r>
    </w:p>
    <w:tbl>
      <w:tblPr>
        <w:tblStyle w:val="8"/>
        <w:tblW w:w="3486" w:type="dxa"/>
        <w:jc w:val="center"/>
        <w:tblInd w:w="-664" w:type="dxa"/>
        <w:tblBorders>
          <w:top w:val="single" w:color="000001" w:sz="8" w:space="0"/>
          <w:left w:val="none" w:color="auto" w:sz="0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698"/>
        <w:gridCol w:w="699"/>
      </w:tblGrid>
      <w:tr>
        <w:trPr>
          <w:jc w:val="center"/>
        </w:trPr>
        <w:tc>
          <w:tcPr>
            <w:tcW w:w="2089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参数成ccd</w:t>
            </w:r>
          </w:p>
        </w:tc>
        <w:tc>
          <w:tcPr>
            <w:tcW w:w="698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阈值</w:t>
            </w:r>
          </w:p>
        </w:tc>
        <w:tc>
          <w:tcPr>
            <w:tcW w:w="699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图示</w:t>
            </w:r>
          </w:p>
        </w:tc>
      </w:tr>
      <w:tr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MaqQ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&gt;50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Coverage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&gt;=30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089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Frequcency</w:t>
            </w:r>
          </w:p>
        </w:tc>
        <w:tc>
          <w:tcPr>
            <w:tcW w:w="698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&gt;=30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>
      <w:pPr>
        <w:spacing w:line="360" w:lineRule="auto"/>
        <w:ind w:left="360" w:right="0" w:firstLine="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表2</w:t>
      </w:r>
    </w:p>
    <w:p>
      <w:pPr>
        <w:pStyle w:val="11"/>
        <w:numPr>
          <w:ilvl w:val="2"/>
          <w:numId w:val="1"/>
        </w:numPr>
      </w:pPr>
      <w:r>
        <w:t>标准解读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如果符合上面的标准，判定为此分析结果可用；如果不可用，主观查找错误原因并改正后重新分析。</w:t>
      </w:r>
    </w:p>
    <w:p>
      <w:pPr>
        <w:spacing w:line="360" w:lineRule="auto"/>
        <w:ind w:left="359" w:right="0" w:firstLine="240"/>
        <w:rPr>
          <w:rFonts w:ascii="宋体" w:hAnsi="宋体"/>
          <w:sz w:val="24"/>
        </w:rPr>
      </w:pPr>
    </w:p>
    <w:p>
      <w:pPr>
        <w:pStyle w:val="10"/>
        <w:numPr>
          <w:ilvl w:val="1"/>
          <w:numId w:val="1"/>
        </w:numPr>
      </w:pPr>
      <w:r>
        <w:t>分析过程中建议标准（表二）</w:t>
      </w:r>
    </w:p>
    <w:tbl>
      <w:tblPr>
        <w:tblStyle w:val="8"/>
        <w:tblW w:w="7402" w:type="dxa"/>
        <w:jc w:val="center"/>
        <w:tblInd w:w="0" w:type="dxa"/>
        <w:tblBorders>
          <w:top w:val="single" w:color="000001" w:sz="8" w:space="0"/>
          <w:left w:val="none" w:color="auto" w:sz="0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4536"/>
      </w:tblGrid>
      <w:tr>
        <w:trPr>
          <w:jc w:val="center"/>
        </w:trPr>
        <w:tc>
          <w:tcPr>
            <w:tcW w:w="2866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建议操作</w:t>
            </w:r>
          </w:p>
        </w:tc>
        <w:tc>
          <w:tcPr>
            <w:tcW w:w="4536" w:type="dxa"/>
            <w:tcBorders>
              <w:top w:val="single" w:color="000001" w:sz="8" w:space="0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符合条件</w:t>
            </w:r>
          </w:p>
        </w:tc>
      </w:tr>
      <w:tr>
        <w:trPr>
          <w:jc w:val="center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重新采集材料或放弃检测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1.三次以上达不到样本质控标准的</w:t>
            </w:r>
          </w:p>
        </w:tc>
      </w:tr>
      <w:tr>
        <w:trPr>
          <w:jc w:val="center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重建库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1.两次或两次以上达不到样本质控标准的</w:t>
            </w:r>
          </w:p>
        </w:tc>
      </w:tr>
      <w:tr>
        <w:trPr>
          <w:jc w:val="center"/>
        </w:trPr>
        <w:tc>
          <w:tcPr>
            <w:tcW w:w="2866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重上机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C0C0C0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关键位点达不到位点质控标准的</w:t>
            </w:r>
          </w:p>
        </w:tc>
      </w:tr>
    </w:tbl>
    <w:p>
      <w:pPr>
        <w:spacing w:line="360" w:lineRule="auto"/>
        <w:ind w:left="360" w:right="0" w:firstLine="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表3</w:t>
      </w:r>
    </w:p>
    <w:p>
      <w:pPr>
        <w:pStyle w:val="9"/>
        <w:numPr>
          <w:ilvl w:val="0"/>
          <w:numId w:val="1"/>
        </w:numPr>
      </w:pPr>
      <w:r>
        <w:t>相关文件：</w:t>
      </w:r>
    </w:p>
    <w:p>
      <w:pPr>
        <w:spacing w:line="360" w:lineRule="auto"/>
        <w:ind w:left="360" w:right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无。</w:t>
      </w:r>
    </w:p>
    <w:p>
      <w:pPr>
        <w:pStyle w:val="9"/>
        <w:numPr>
          <w:ilvl w:val="0"/>
          <w:numId w:val="1"/>
        </w:numPr>
      </w:pPr>
      <w:r>
        <w:t>相关记录：</w:t>
      </w:r>
    </w:p>
    <w:p>
      <w:pPr>
        <w:spacing w:line="360" w:lineRule="auto"/>
        <w:ind w:left="425" w:right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无。</w:t>
      </w:r>
    </w:p>
    <w:p>
      <w:pPr/>
    </w:p>
    <w:p>
      <w:pPr>
        <w:pStyle w:val="3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sectPr>
      <w:headerReference r:id="rId3" w:type="default"/>
      <w:footerReference r:id="rId4" w:type="default"/>
      <w:pgSz w:w="11906" w:h="16838"/>
      <w:pgMar w:top="1418" w:right="1418" w:bottom="1418" w:left="1418" w:header="851" w:footer="992" w:gutter="0"/>
      <w:pgNumType w:fmt="decimal" w:start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decorative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Calibri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01"/>
    <w:family w:val="swiss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alibri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mbria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Kedage">
    <w:panose1 w:val="00000400000000000000"/>
    <w:charset w:val="01"/>
    <w:family w:val="decorative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rFonts w:ascii="宋体" w:hAnsi="宋体"/>
        <w:b/>
      </w:rPr>
    </w:pPr>
    <w:r>
      <w:rPr>
        <w:rStyle w:val="7"/>
        <w:b/>
        <w:szCs w:val="21"/>
      </w:rP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  <w:r>
      <w:rPr>
        <w:rStyle w:val="7"/>
        <w:b/>
        <w:szCs w:val="21"/>
      </w:rPr>
      <w:t xml:space="preserve"> / </w:t>
    </w:r>
    <w:r>
      <w:rPr>
        <w:rStyle w:val="7"/>
        <w:b/>
        <w:szCs w:val="21"/>
      </w:rPr>
      <w:fldChar w:fldCharType="begin"/>
    </w:r>
    <w:r>
      <w:instrText xml:space="preserve">NUMPAGES</w:instrText>
    </w:r>
    <w:r>
      <w:fldChar w:fldCharType="separate"/>
    </w:r>
    <w:r>
      <w:t>5</w:t>
    </w:r>
    <w:r>
      <w:fldChar w:fldCharType="end"/>
    </w:r>
    <w:r>
      <w:rPr>
        <w:rStyle w:val="7"/>
        <w:b/>
        <w:szCs w:val="21"/>
      </w:rPr>
      <w:t xml:space="preserve"> SOP-XX-110  </w:t>
    </w:r>
    <w:r>
      <w:rPr>
        <w:rFonts w:ascii="宋体" w:hAnsi="宋体"/>
        <w:b/>
      </w:rPr>
      <w:t>爱汝康illumina平台数据分析操作规范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before="0" w:after="120"/>
      <w:jc w:val="center"/>
      <w:rPr>
        <w:rFonts w:ascii="宋体" w:hAnsi="宋体"/>
        <w:b/>
        <w:szCs w:val="21"/>
      </w:rPr>
    </w:pPr>
    <w:r>
      <w:rPr>
        <w:rFonts w:ascii="宋体" w:hAnsi="宋体"/>
        <w:b/>
        <w:szCs w:val="21"/>
      </w:rPr>
      <w:t>北京百迈客医学检验所-质量管理体系文件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501056">
    <w:nsid w:val="5796CE80"/>
    <w:multiLevelType w:val="multilevel"/>
    <w:tmpl w:val="5796CE80"/>
    <w:lvl w:ilvl="0" w:tentative="1">
      <w:start w:val="1"/>
      <w:numFmt w:val="decimal"/>
      <w:pStyle w:val="9"/>
      <w:lvlText w:val="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69501067">
    <w:nsid w:val="5796CE8B"/>
    <w:multiLevelType w:val="multilevel"/>
    <w:tmpl w:val="5796CE8B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9501056"/>
  </w:num>
  <w:num w:numId="2">
    <w:abstractNumId w:val="1469501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3FD7C28A"/>
    <w:rsid w:val="6FE4C9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unhideWhenUsed/>
    <w:qFormat/>
    <w:uiPriority w:val="99"/>
    <w:rPr>
      <w:rFonts w:ascii="宋体" w:hAnsi="宋体"/>
      <w:sz w:val="18"/>
      <w:szCs w:val="18"/>
    </w:rPr>
  </w:style>
  <w:style w:type="paragraph" w:styleId="3">
    <w:name w:val="Date"/>
    <w:basedOn w:val="1"/>
    <w:next w:val="1"/>
    <w:unhideWhenUsed/>
    <w:qFormat/>
    <w:uiPriority w:val="99"/>
    <w:pPr>
      <w:ind w:left="100" w:right="0" w:firstLine="0"/>
    </w:pPr>
  </w:style>
  <w:style w:type="paragraph" w:styleId="4">
    <w:name w:val="Balloon Text"/>
    <w:basedOn w:val="1"/>
    <w:unhideWhenUsed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spacing w:before="0" w:after="280"/>
      <w:jc w:val="left"/>
    </w:pPr>
    <w:rPr>
      <w:rFonts w:ascii="宋体" w:hAnsi="宋体"/>
      <w:sz w:val="24"/>
    </w:rPr>
  </w:style>
  <w:style w:type="character" w:styleId="7">
    <w:name w:val="page number"/>
    <w:basedOn w:val="6"/>
    <w:uiPriority w:val="0"/>
  </w:style>
  <w:style w:type="paragraph" w:customStyle="1" w:styleId="9">
    <w:name w:val="标题 11"/>
    <w:basedOn w:val="1"/>
    <w:qFormat/>
    <w:uiPriority w:val="9"/>
    <w:pPr>
      <w:keepNext/>
      <w:keepLines/>
      <w:numPr>
        <w:ilvl w:val="0"/>
        <w:numId w:val="1"/>
      </w:numPr>
      <w:spacing w:before="0" w:after="120" w:line="360" w:lineRule="auto"/>
      <w:ind w:left="431" w:right="0" w:hanging="431"/>
      <w:outlineLvl w:val="0"/>
    </w:pPr>
    <w:rPr>
      <w:b/>
      <w:bCs/>
      <w:sz w:val="30"/>
      <w:szCs w:val="44"/>
    </w:rPr>
  </w:style>
  <w:style w:type="paragraph" w:customStyle="1" w:styleId="10">
    <w:name w:val="标题 21"/>
    <w:basedOn w:val="1"/>
    <w:link w:val="22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1"/>
    </w:pPr>
    <w:rPr>
      <w:rFonts w:ascii="Cambria" w:hAnsi="Cambria"/>
      <w:bCs/>
      <w:sz w:val="24"/>
      <w:szCs w:val="32"/>
    </w:rPr>
  </w:style>
  <w:style w:type="paragraph" w:customStyle="1" w:styleId="11">
    <w:name w:val="标题 31"/>
    <w:basedOn w:val="1"/>
    <w:link w:val="23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2"/>
    </w:pPr>
    <w:rPr>
      <w:bCs/>
      <w:sz w:val="24"/>
      <w:szCs w:val="32"/>
    </w:rPr>
  </w:style>
  <w:style w:type="paragraph" w:customStyle="1" w:styleId="12">
    <w:name w:val="标题 41"/>
    <w:basedOn w:val="1"/>
    <w:link w:val="24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3"/>
    </w:pPr>
    <w:rPr>
      <w:rFonts w:ascii="Cambria" w:hAnsi="Cambria"/>
      <w:bCs/>
      <w:sz w:val="24"/>
      <w:szCs w:val="28"/>
    </w:rPr>
  </w:style>
  <w:style w:type="paragraph" w:customStyle="1" w:styleId="13">
    <w:name w:val="标题 51"/>
    <w:basedOn w:val="1"/>
    <w:link w:val="25"/>
    <w:unhideWhenUsed/>
    <w:qFormat/>
    <w:uiPriority w:val="9"/>
    <w:pPr>
      <w:keepNext/>
      <w:keepLines/>
      <w:numPr>
        <w:ilvl w:val="0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14">
    <w:name w:val="标题 61"/>
    <w:basedOn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5"/>
    </w:pPr>
    <w:rPr>
      <w:rFonts w:ascii="Cambria" w:hAnsi="Cambria"/>
      <w:b/>
      <w:bCs/>
      <w:sz w:val="24"/>
    </w:rPr>
  </w:style>
  <w:style w:type="paragraph" w:customStyle="1" w:styleId="15">
    <w:name w:val="标题 71"/>
    <w:basedOn w:val="1"/>
    <w:link w:val="27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customStyle="1" w:styleId="16">
    <w:name w:val="标题 81"/>
    <w:basedOn w:val="1"/>
    <w:link w:val="28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7"/>
    </w:pPr>
    <w:rPr>
      <w:rFonts w:ascii="Cambria" w:hAnsi="Cambria"/>
      <w:sz w:val="24"/>
    </w:rPr>
  </w:style>
  <w:style w:type="paragraph" w:customStyle="1" w:styleId="17">
    <w:name w:val="标题 91"/>
    <w:basedOn w:val="1"/>
    <w:link w:val="29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8"/>
    </w:pPr>
    <w:rPr>
      <w:rFonts w:ascii="Cambria" w:hAnsi="Cambria"/>
      <w:szCs w:val="21"/>
    </w:rPr>
  </w:style>
  <w:style w:type="character" w:customStyle="1" w:styleId="18">
    <w:name w:val="文档结构图 Char"/>
    <w:basedOn w:val="6"/>
    <w:semiHidden/>
    <w:qFormat/>
    <w:uiPriority w:val="99"/>
    <w:rPr>
      <w:rFonts w:ascii="宋体" w:hAnsi="宋体" w:eastAsia="宋体"/>
      <w:sz w:val="18"/>
      <w:szCs w:val="18"/>
    </w:rPr>
  </w:style>
  <w:style w:type="character" w:customStyle="1" w:styleId="19">
    <w:name w:val="页眉 Char"/>
    <w:basedOn w:val="6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6"/>
    <w:semiHidden/>
    <w:qFormat/>
    <w:uiPriority w:val="99"/>
    <w:rPr>
      <w:sz w:val="18"/>
      <w:szCs w:val="18"/>
    </w:rPr>
  </w:style>
  <w:style w:type="character" w:customStyle="1" w:styleId="21">
    <w:name w:val="日期 Char"/>
    <w:basedOn w:val="6"/>
    <w:semiHidden/>
    <w:qFormat/>
    <w:uiPriority w:val="99"/>
    <w:rPr>
      <w:sz w:val="21"/>
      <w:szCs w:val="22"/>
    </w:rPr>
  </w:style>
  <w:style w:type="character" w:customStyle="1" w:styleId="22">
    <w:name w:val="标题 1 Char"/>
    <w:basedOn w:val="6"/>
    <w:link w:val="10"/>
    <w:qFormat/>
    <w:uiPriority w:val="9"/>
    <w:rPr>
      <w:b/>
      <w:bCs/>
      <w:sz w:val="30"/>
      <w:szCs w:val="44"/>
    </w:rPr>
  </w:style>
  <w:style w:type="character" w:customStyle="1" w:styleId="23">
    <w:name w:val="标题 2 Char"/>
    <w:basedOn w:val="6"/>
    <w:link w:val="11"/>
    <w:qFormat/>
    <w:uiPriority w:val="9"/>
    <w:rPr>
      <w:rFonts w:ascii="Cambria" w:hAnsi="Cambria"/>
      <w:bCs/>
      <w:sz w:val="24"/>
      <w:szCs w:val="32"/>
    </w:rPr>
  </w:style>
  <w:style w:type="character" w:customStyle="1" w:styleId="24">
    <w:name w:val="标题 3 Char"/>
    <w:basedOn w:val="6"/>
    <w:link w:val="12"/>
    <w:qFormat/>
    <w:uiPriority w:val="9"/>
    <w:rPr>
      <w:rFonts w:ascii="Times New Roman" w:hAnsi="Times New Roman" w:eastAsia="宋体" w:cs="Times New Roman"/>
      <w:bCs/>
      <w:sz w:val="24"/>
      <w:szCs w:val="32"/>
    </w:rPr>
  </w:style>
  <w:style w:type="character" w:customStyle="1" w:styleId="25">
    <w:name w:val="标题 4 Char"/>
    <w:basedOn w:val="6"/>
    <w:link w:val="13"/>
    <w:qFormat/>
    <w:uiPriority w:val="9"/>
    <w:rPr>
      <w:rFonts w:ascii="Cambria" w:hAnsi="Cambria"/>
      <w:bCs/>
      <w:sz w:val="24"/>
      <w:szCs w:val="28"/>
    </w:rPr>
  </w:style>
  <w:style w:type="character" w:customStyle="1" w:styleId="26">
    <w:name w:val="标题 5 Char"/>
    <w:basedOn w:val="6"/>
    <w:link w:val="14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6"/>
    <w:link w:val="15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28">
    <w:name w:val="标题 7 Char"/>
    <w:basedOn w:val="6"/>
    <w:link w:val="16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6"/>
    <w:link w:val="17"/>
    <w:semiHidden/>
    <w:qFormat/>
    <w:uiPriority w:val="9"/>
    <w:rPr>
      <w:rFonts w:ascii="Cambria" w:hAnsi="Cambria"/>
      <w:sz w:val="24"/>
      <w:szCs w:val="24"/>
    </w:rPr>
  </w:style>
  <w:style w:type="character" w:customStyle="1" w:styleId="30">
    <w:name w:val="标题 9 Char"/>
    <w:basedOn w:val="6"/>
    <w:semiHidden/>
    <w:qFormat/>
    <w:uiPriority w:val="9"/>
    <w:rPr>
      <w:rFonts w:ascii="Cambria" w:hAnsi="Cambria"/>
      <w:sz w:val="21"/>
      <w:szCs w:val="21"/>
    </w:rPr>
  </w:style>
  <w:style w:type="character" w:customStyle="1" w:styleId="31">
    <w:name w:val="批注框文本 Char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标题1"/>
    <w:basedOn w:val="1"/>
    <w:next w:val="33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33">
    <w:name w:val="正文1"/>
    <w:basedOn w:val="1"/>
    <w:uiPriority w:val="0"/>
    <w:pPr>
      <w:spacing w:before="0" w:after="140" w:line="288" w:lineRule="auto"/>
    </w:pPr>
  </w:style>
  <w:style w:type="paragraph" w:customStyle="1" w:styleId="34">
    <w:name w:val="列表1"/>
    <w:basedOn w:val="33"/>
    <w:uiPriority w:val="0"/>
  </w:style>
  <w:style w:type="paragraph" w:customStyle="1" w:styleId="35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6">
    <w:name w:val="索引"/>
    <w:basedOn w:val="1"/>
    <w:uiPriority w:val="0"/>
    <w:pPr>
      <w:suppressLineNumbers/>
    </w:pPr>
  </w:style>
  <w:style w:type="paragraph" w:customStyle="1" w:styleId="37">
    <w:name w:val="页脚1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38">
    <w:name w:val="页眉1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39">
    <w:name w:val="列出段落1"/>
    <w:basedOn w:val="1"/>
    <w:qFormat/>
    <w:uiPriority w:val="0"/>
    <w:pPr>
      <w:ind w:left="0" w:right="0" w:firstLine="420"/>
    </w:pPr>
  </w:style>
  <w:style w:type="paragraph" w:customStyle="1" w:styleId="40">
    <w:name w:val="List Paragraph"/>
    <w:basedOn w:val="1"/>
    <w:unhideWhenUsed/>
    <w:uiPriority w:val="99"/>
    <w:pPr>
      <w:ind w:left="0" w:right="0"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2015-12-25T07:13:00Z</dcterms:created>
  <dc:creator>songsl</dc:creator>
  <cp:lastModifiedBy>bmk</cp:lastModifiedBy>
  <dcterms:modified xsi:type="dcterms:W3CDTF">2016-08-12T13:14:28Z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