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共表达分析结果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具有相同表达模式的基因更趋向于拥有相同的功能。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当样品数量大于等于5时,采用皮尔森相关性分析，分别对差异RNA之间构建mRNA-lncRNA, miRNA-circRNA共表达网络。否则，不进行此项分析。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Sig.circRNA_miRNA.xls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circRNA-miRNA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共表达关系对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RNA1：RNA1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RNA2：RNA2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coefficient：pearson相关性系数（|Pearson Coefficient|&gt;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=设定值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pvalue：显著性p值（P&lt;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=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设定值）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Sig.lncRNA_mRNA.xls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lncRNA-mRNA共表达关系对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Diff.Sig.circRNA_miRNA.xls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差异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circRNA-miRNA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共表达关系对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RNA1：RNA1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RNA1_regulated : up(上调)/down(下调)/--(非差异)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RNA2：RNA2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 xml:space="preserve">|-- RNA2_regulated :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up(上调)/down(下调)/--(非差异)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coefficient：pearson相关性系数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|-- pvalue：显著性p值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Diff.Sig.lncRNA_mRNA.xls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差异lncRNA-mRNA共表达关系对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B9ECA"/>
    <w:rsid w:val="7FFD4B45"/>
    <w:rsid w:val="DFFF78C7"/>
    <w:rsid w:val="F7EB9ECA"/>
    <w:rsid w:val="FFF28E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2018-08-18T08:04:00Z</dcterms:created>
  <dc:creator>bmk</dc:creator>
  <cp:lastModifiedBy>bmk</cp:lastModifiedBy>
  <dcterms:modified xsi:type="dcterms:W3CDTF">2018-11-22T19:31:51Z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