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keepNext w:val="0"/>
        <w:keepLines w:val="0"/>
        <w:widowControl/>
        <w:suppressLineNumbers w:val="0"/>
        <w:jc w:val="left"/>
        <w:rPr>
          <w:rFonts w:hint="eastAsia" w:asciiTheme="minorEastAsia" w:hAnsiTheme="minorEastAsia" w:eastAsiaTheme="minorEastAsia" w:cstheme="minorEastAsia"/>
          <w:b/>
          <w:bCs/>
          <w:sz w:val="24"/>
          <w:szCs w:val="24"/>
        </w:rPr>
      </w:pPr>
      <w:r>
        <w:rPr>
          <w:rFonts w:hint="eastAsia" w:cs="KacstLetter" w:asciiTheme="minorEastAsia" w:hAnsiTheme="minorEastAsia" w:eastAsiaTheme="minorEastAsia"/>
          <w:b/>
          <w:bCs/>
          <w:sz w:val="24"/>
          <w:szCs w:val="24"/>
        </w:rPr>
        <w:t>|-- nonRib.AllSample_GC_Q.stat.xls</w:t>
      </w:r>
      <w:r>
        <w:rPr>
          <w:rFonts w:hint="eastAsia" w:cs="KacstLetter" w:asciiTheme="minorEastAsia" w:hAnsiTheme="minorEastAsia" w:eastAsiaTheme="minorEastAsia"/>
          <w:b/>
          <w:bCs/>
          <w:sz w:val="24"/>
          <w:szCs w:val="24"/>
        </w:rPr>
        <w:tab/>
      </w:r>
      <w:r>
        <w:rPr>
          <w:rFonts w:hint="eastAsia" w:cs="KacstLetter" w:asciiTheme="minorEastAsia" w:hAnsiTheme="minorEastAsia" w:eastAsiaTheme="minorEastAsia"/>
          <w:b/>
          <w:bCs/>
          <w:sz w:val="24"/>
          <w:szCs w:val="24"/>
        </w:rPr>
        <w:t>LncRNA</w:t>
      </w:r>
      <w:r>
        <w:rPr>
          <w:rFonts w:hint="eastAsia" w:asciiTheme="minorEastAsia" w:hAnsiTheme="minorEastAsia" w:eastAsiaTheme="minorEastAsia" w:cstheme="minorEastAsia"/>
          <w:b/>
          <w:bCs/>
          <w:sz w:val="24"/>
          <w:szCs w:val="24"/>
        </w:rPr>
        <w:t>样本的测序数据质量评估统计</w:t>
      </w:r>
      <w:r>
        <w:rPr>
          <w:rFonts w:hint="default" w:asciiTheme="minorEastAsia" w:hAnsiTheme="minorEastAsia" w:cstheme="minorEastAsia"/>
          <w:b/>
          <w:bCs/>
          <w:sz w:val="24"/>
          <w:szCs w:val="24"/>
        </w:rPr>
        <w:t>表</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SampleID：客户的样本编号；</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 BMK-ID：百迈客样品分析编号,为公司内部编号,与客户样品的编号对应；</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 ReadSum：Clean Data中pair-end Reads总数；</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 BaseSum：Clean Data中的总碱基数；</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 GC(%)：Clean Data中的GC含量,即Clean Data中G和C两种碱基占总碱基的百分比；</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 N(%)：Clean Data中含N的碱基占总碱基的百分比；</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 Q30(%)：Clean Data中质量值大于或等于30的碱基占总碱基的百分比。</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2"/>
          <w:szCs w:val="22"/>
          <w:lang w:val="en-US" w:eastAsia="zh-CN"/>
        </w:rPr>
      </w:pPr>
    </w:p>
    <w:p>
      <w:pPr>
        <w:keepNext w:val="0"/>
        <w:keepLines w:val="0"/>
        <w:widowControl/>
        <w:suppressLineNumbers w:val="0"/>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miRNA.All_sample_filter.stat</w:t>
      </w:r>
      <w:r>
        <w:rPr>
          <w:rFonts w:hint="default" w:asciiTheme="minorEastAsia" w:hAnsiTheme="minorEastAsia" w:cstheme="minorEastAsia"/>
          <w:b/>
          <w:bCs/>
          <w:sz w:val="24"/>
          <w:szCs w:val="24"/>
        </w:rPr>
        <w:t>.xls</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miRNA数据过滤统计表</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过滤掉原始序列中含有接头的序列和低质量序列等一系列不符合要求的序列</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得到符合要求的高质量序</w:t>
      </w:r>
      <w:r>
        <w:rPr>
          <w:rFonts w:hint="default" w:asciiTheme="minorEastAsia" w:hAnsiTheme="minorEastAsia" w:cstheme="minorEastAsia"/>
          <w:sz w:val="24"/>
          <w:szCs w:val="24"/>
        </w:rPr>
        <w:t>列。</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Samples：样本信息单样品名称；</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BMK-ID：百迈客编号；</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Raw_reads：测序原始数据；</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Low_quality：质量值低于30的碱基所占比例超过20%的reads；</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Containing'N'reads：含至少10%的未知碱基N的reads；</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Length&lt;18：去掉接头后,长度小于18个核苷酸的reads数；</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Length&gt;30：去掉接头后,长度小于18个核苷酸的reads数；</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Clean_reads：质量值大于或等于30的碱基的Reads数；</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Q30(%)：碱基质量值大于30的比例。</w:t>
      </w:r>
    </w:p>
    <w:p>
      <w:pPr>
        <w:keepNext w:val="0"/>
        <w:keepLines w:val="0"/>
        <w:pageBreakBefore w:val="0"/>
        <w:widowControl/>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eastAsia" w:asciiTheme="minorEastAsia" w:hAnsiTheme="minorEastAsia" w:eastAsiaTheme="minorEastAsia" w:cstheme="minorEastAsia"/>
          <w:sz w:val="22"/>
          <w:szCs w:val="22"/>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rPr>
        <w:t>|-- miRNA.AllSample_GC_Q.stat</w:t>
      </w:r>
      <w:r>
        <w:rPr>
          <w:rFonts w:hint="default" w:asciiTheme="minorEastAsia" w:hAnsiTheme="minorEastAsia" w:cstheme="minorEastAsia"/>
          <w:b/>
          <w:bCs/>
          <w:sz w:val="24"/>
          <w:szCs w:val="24"/>
        </w:rPr>
        <w:t xml:space="preserve">.xls </w:t>
      </w:r>
      <w:r>
        <w:rPr>
          <w:rFonts w:hint="default" w:asciiTheme="minorEastAsia" w:hAnsiTheme="minorEastAsia" w:cstheme="minorEastAsia"/>
          <w:b w:val="0"/>
          <w:bCs w:val="0"/>
          <w:sz w:val="24"/>
          <w:szCs w:val="24"/>
        </w:rPr>
        <w:t xml:space="preserve">   </w:t>
      </w:r>
      <w:r>
        <w:rPr>
          <w:rFonts w:hint="eastAsia" w:asciiTheme="minorEastAsia" w:hAnsiTheme="minorEastAsia" w:eastAsiaTheme="minorEastAsia" w:cstheme="minorEastAsia"/>
          <w:b w:val="0"/>
          <w:bCs w:val="0"/>
          <w:kern w:val="0"/>
          <w:sz w:val="24"/>
          <w:szCs w:val="24"/>
          <w:lang w:eastAsia="zh-CN" w:bidi="ar"/>
        </w:rPr>
        <w:t>s</w:t>
      </w:r>
      <w:r>
        <w:rPr>
          <w:rFonts w:hint="eastAsia" w:asciiTheme="minorEastAsia" w:hAnsiTheme="minorEastAsia" w:eastAsiaTheme="minorEastAsia" w:cstheme="minorEastAsia"/>
          <w:b w:val="0"/>
          <w:bCs w:val="0"/>
          <w:sz w:val="24"/>
          <w:szCs w:val="24"/>
        </w:rPr>
        <w:t>RNA样本的测序数据质量评估统计</w:t>
      </w:r>
      <w:r>
        <w:rPr>
          <w:rFonts w:hint="eastAsia" w:asciiTheme="minorEastAsia" w:hAnsiTheme="minorEastAsia" w:eastAsiaTheme="minorEastAsia" w:cstheme="minorEastAsia"/>
          <w:b w:val="0"/>
          <w:bCs w:val="0"/>
          <w:sz w:val="24"/>
          <w:szCs w:val="24"/>
          <w:lang w:val="en-US" w:eastAsia="zh-CN"/>
        </w:rPr>
        <w:t>表</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2"/>
          <w:szCs w:val="22"/>
        </w:rPr>
        <w:t>-- SampleID：客户的样本编号；</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BMK-ID：百迈客样品分析编号,为公司内部编号,与客户样品的编号对应；</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ReadSum：Clean Data中pair-end Reads总数；</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BaseSum：Clean Data中的总碱基数；</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GC(%)：Clean Data中的GC含量,即Clean Data中G和C两种碱基占总碱基的百分比；</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N(%)：Clean Data中含N的碱基占总碱基的百分比；</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Q30(%)：Clean Data中质量值大于或等于30的碱基占总碱基的百分比。</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p>
    <w:p>
      <w:pPr>
        <w:keepNext w:val="0"/>
        <w:keepLines w:val="0"/>
        <w:widowControl/>
        <w:suppressLineNumbers w:val="0"/>
        <w:jc w:val="left"/>
        <w:rPr>
          <w:rFonts w:hint="eastAsia" w:asciiTheme="minorEastAsia" w:hAnsiTheme="minorEastAsia" w:eastAsiaTheme="minorEastAsia" w:cstheme="minorEastAsia"/>
          <w:b/>
          <w:bCs/>
          <w:sz w:val="24"/>
          <w:szCs w:val="24"/>
        </w:rPr>
      </w:pPr>
    </w:p>
    <w:p>
      <w:pPr>
        <w:keepNext w:val="0"/>
        <w:keepLines w:val="0"/>
        <w:widowControl/>
        <w:suppressLineNumbers w:val="0"/>
        <w:jc w:val="left"/>
        <w:rPr>
          <w:rFonts w:hint="eastAsia" w:asciiTheme="minorEastAsia" w:hAnsiTheme="minorEastAsia" w:eastAsiaTheme="minorEastAsia" w:cstheme="minorEastAsia"/>
          <w:b/>
          <w:bCs/>
          <w:sz w:val="24"/>
          <w:szCs w:val="24"/>
        </w:rPr>
      </w:pPr>
    </w:p>
    <w:p>
      <w:pPr>
        <w:keepNext w:val="0"/>
        <w:keepLines w:val="0"/>
        <w:widowControl/>
        <w:suppressLineNumbers w:val="0"/>
        <w:jc w:val="left"/>
        <w:rPr>
          <w:rFonts w:hint="eastAsia" w:asciiTheme="minorEastAsia" w:hAnsiTheme="minorEastAsia" w:eastAsiaTheme="minorEastAsia" w:cstheme="minorEastAsia"/>
          <w:b/>
          <w:bCs/>
          <w:sz w:val="24"/>
          <w:szCs w:val="24"/>
        </w:rPr>
      </w:pPr>
    </w:p>
    <w:p>
      <w:pPr>
        <w:keepNext w:val="0"/>
        <w:keepLines w:val="0"/>
        <w:widowControl/>
        <w:suppressLineNumbers w:val="0"/>
        <w:jc w:val="left"/>
        <w:rPr>
          <w:rFonts w:hint="eastAsia" w:asciiTheme="minorEastAsia" w:hAnsiTheme="minorEastAsia" w:eastAsiaTheme="minorEastAsia" w:cstheme="minorEastAsia"/>
          <w:b/>
          <w:bCs/>
          <w:sz w:val="24"/>
          <w:szCs w:val="24"/>
        </w:rPr>
      </w:pPr>
    </w:p>
    <w:p>
      <w:pPr>
        <w:keepNext w:val="0"/>
        <w:keepLines w:val="0"/>
        <w:widowControl/>
        <w:suppressLineNumbers w:val="0"/>
        <w:jc w:val="left"/>
        <w:rPr>
          <w:rFonts w:hint="eastAsia" w:asciiTheme="minorEastAsia" w:hAnsiTheme="minorEastAsia" w:cstheme="minorEastAsia"/>
          <w:b/>
          <w:bCs/>
          <w:sz w:val="24"/>
          <w:szCs w:val="24"/>
        </w:rPr>
      </w:pPr>
      <w:bookmarkStart w:id="0" w:name="_GoBack"/>
      <w:bookmarkEnd w:id="0"/>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文件夹================</w:t>
      </w:r>
      <w:r>
        <w:rPr>
          <w:rFonts w:hint="default" w:asciiTheme="minorEastAsia" w:hAnsiTheme="minorEastAsia" w:cstheme="minorEastAsia"/>
          <w:b/>
          <w:bCs/>
          <w:sz w:val="24"/>
          <w:szCs w:val="24"/>
        </w:rPr>
        <w:t>====================</w:t>
      </w:r>
    </w:p>
    <w:p>
      <w:pPr>
        <w:keepNext w:val="0"/>
        <w:keepLines w:val="0"/>
        <w:widowControl/>
        <w:suppressLineNumbers w:val="0"/>
        <w:jc w:val="left"/>
        <w:rPr>
          <w:rFonts w:hint="eastAsia" w:asciiTheme="minorEastAsia" w:hAnsiTheme="minorEastAsia" w:eastAsiaTheme="minorEastAsia" w:cstheme="minorEastAsia"/>
          <w:b/>
          <w:bCs/>
          <w:sz w:val="24"/>
          <w:szCs w:val="24"/>
        </w:rPr>
      </w:pPr>
      <w:r>
        <w:rPr>
          <w:rFonts w:hint="default"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 xml:space="preserve"> </w:t>
      </w:r>
      <w:r>
        <w:rPr>
          <w:rFonts w:hint="default" w:asciiTheme="minorEastAsia" w:hAnsiTheme="minorEastAsia" w:eastAsiaTheme="minorEastAsia" w:cstheme="minorEastAsia"/>
          <w:b/>
          <w:bCs/>
          <w:sz w:val="24"/>
          <w:szCs w:val="24"/>
        </w:rPr>
        <w:t>nonRib_PNG</w:t>
      </w:r>
      <w:r>
        <w:rPr>
          <w:rFonts w:hint="eastAsia" w:asciiTheme="minorEastAsia" w:hAnsiTheme="minorEastAsia" w:eastAsiaTheme="minorEastAsia" w:cstheme="minorEastAsia"/>
          <w:b/>
          <w:bCs/>
          <w:sz w:val="24"/>
          <w:szCs w:val="24"/>
        </w:rPr>
        <w:tab/>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2"/>
          <w:szCs w:val="22"/>
        </w:rPr>
        <w:t>|-- *.acgtn.p</w:t>
      </w:r>
      <w:r>
        <w:rPr>
          <w:rFonts w:hint="default" w:asciiTheme="minorEastAsia" w:hAnsiTheme="minorEastAsia" w:cstheme="minorEastAsia"/>
          <w:b/>
          <w:bCs/>
          <w:sz w:val="22"/>
          <w:szCs w:val="22"/>
        </w:rPr>
        <w:t>ng</w:t>
      </w:r>
      <w:r>
        <w:rPr>
          <w:rFonts w:hint="default" w:asciiTheme="minorEastAsia" w:hAnsiTheme="minorEastAsia" w:cstheme="minorEastAsia"/>
          <w:b/>
          <w:bCs/>
          <w:sz w:val="22"/>
          <w:szCs w:val="22"/>
        </w:rPr>
        <w:tab/>
      </w:r>
      <w:r>
        <w:rPr>
          <w:rFonts w:hint="default" w:asciiTheme="minorEastAsia" w:hAnsiTheme="minorEastAsia" w:cstheme="minorEastAsia"/>
          <w:b/>
          <w:bCs/>
          <w:sz w:val="22"/>
          <w:szCs w:val="22"/>
        </w:rPr>
        <w:tab/>
      </w:r>
      <w:r>
        <w:rPr>
          <w:rFonts w:hint="eastAsia" w:asciiTheme="minorEastAsia" w:hAnsiTheme="minorEastAsia" w:eastAsiaTheme="minorEastAsia" w:cstheme="minorEastAsia"/>
          <w:b/>
          <w:bCs/>
          <w:sz w:val="24"/>
          <w:szCs w:val="24"/>
          <w:lang w:eastAsia="zh-CN"/>
        </w:rPr>
        <w:t>碱基（ATGCN）含量分布图</w:t>
      </w:r>
    </w:p>
    <w:p>
      <w:pPr>
        <w:keepNext w:val="0"/>
        <w:keepLines w:val="0"/>
        <w:pageBreakBefore w:val="0"/>
        <w:widowControl/>
        <w:suppressLineNumbers w:val="0"/>
        <w:kinsoku/>
        <w:wordWrap/>
        <w:overflowPunct/>
        <w:topLinePunct w:val="0"/>
        <w:autoSpaceDE/>
        <w:autoSpaceDN/>
        <w:bidi w:val="0"/>
        <w:adjustRightInd/>
        <w:snapToGrid/>
        <w:spacing w:line="360" w:lineRule="exact"/>
        <w:ind w:left="840" w:leftChars="0"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横坐标为Reads的碱基位置，纵坐标为单碱基所占比例。</w:t>
      </w:r>
    </w:p>
    <w:p>
      <w:pPr>
        <w:keepNext w:val="0"/>
        <w:keepLines w:val="0"/>
        <w:pageBreakBefore w:val="0"/>
        <w:widowControl/>
        <w:suppressLineNumbers w:val="0"/>
        <w:kinsoku/>
        <w:wordWrap/>
        <w:overflowPunct/>
        <w:topLinePunct w:val="0"/>
        <w:autoSpaceDE/>
        <w:autoSpaceDN/>
        <w:bidi w:val="0"/>
        <w:adjustRightInd/>
        <w:snapToGrid/>
        <w:spacing w:line="360" w:lineRule="exact"/>
        <w:ind w:left="840" w:leftChars="0"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widowControl/>
        <w:suppressLineNumbers w:val="0"/>
        <w:jc w:val="left"/>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b/>
          <w:bCs/>
          <w:sz w:val="22"/>
          <w:szCs w:val="22"/>
        </w:rPr>
        <w:t>|-- *.quality.png</w:t>
      </w:r>
      <w:r>
        <w:rPr>
          <w:rFonts w:hint="default" w:asciiTheme="minorEastAsia" w:hAnsiTheme="minorEastAsia" w:cstheme="minorEastAsia"/>
          <w:b/>
          <w:bCs/>
          <w:sz w:val="22"/>
          <w:szCs w:val="22"/>
        </w:rPr>
        <w:tab/>
      </w:r>
      <w:r>
        <w:rPr>
          <w:rFonts w:hint="default" w:asciiTheme="minorEastAsia" w:hAnsiTheme="minorEastAsia" w:cstheme="minorEastAsia"/>
          <w:b/>
          <w:bCs/>
          <w:sz w:val="22"/>
          <w:szCs w:val="22"/>
        </w:rPr>
        <w:tab/>
      </w:r>
      <w:r>
        <w:rPr>
          <w:rFonts w:hint="eastAsia" w:asciiTheme="minorEastAsia" w:hAnsiTheme="minorEastAsia" w:eastAsiaTheme="minorEastAsia" w:cstheme="minorEastAsia"/>
          <w:b/>
          <w:bCs/>
          <w:sz w:val="24"/>
          <w:szCs w:val="24"/>
          <w:lang w:val="en-US" w:eastAsia="zh-CN"/>
        </w:rPr>
        <w:t>碱基测序错误率分布</w:t>
      </w:r>
      <w:r>
        <w:rPr>
          <w:rFonts w:hint="eastAsia" w:asciiTheme="minorEastAsia" w:hAnsiTheme="minorEastAsia" w:eastAsiaTheme="minorEastAsia" w:cstheme="minorEastAsia"/>
          <w:b/>
          <w:bCs/>
          <w:sz w:val="24"/>
          <w:szCs w:val="24"/>
          <w:lang w:eastAsia="zh-CN"/>
        </w:rPr>
        <w:t>图</w:t>
      </w:r>
    </w:p>
    <w:p>
      <w:pPr>
        <w:keepNext w:val="0"/>
        <w:keepLines w:val="0"/>
        <w:pageBreakBefore w:val="0"/>
        <w:widowControl/>
        <w:suppressLineNumbers w:val="0"/>
        <w:kinsoku/>
        <w:wordWrap/>
        <w:overflowPunct/>
        <w:topLinePunct w:val="0"/>
        <w:autoSpaceDE/>
        <w:autoSpaceDN/>
        <w:bidi w:val="0"/>
        <w:adjustRightInd/>
        <w:snapToGrid/>
        <w:spacing w:line="360" w:lineRule="exact"/>
        <w:ind w:left="840" w:leftChars="0"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横坐标为Reads的碱基位置，纵坐标为单碱基错误率。</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 xml:space="preserve"> </w:t>
      </w:r>
      <w:r>
        <w:rPr>
          <w:rFonts w:hint="eastAsia" w:asciiTheme="minorEastAsia" w:hAnsiTheme="minorEastAsia" w:eastAsiaTheme="minorEastAsia" w:cstheme="minorEastAsia"/>
          <w:b/>
          <w:bCs/>
          <w:sz w:val="24"/>
          <w:szCs w:val="24"/>
        </w:rPr>
        <w:t>miRNA_PNG</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2"/>
          <w:szCs w:val="22"/>
        </w:rPr>
        <w:t>|-- *.error.png</w:t>
      </w:r>
      <w:r>
        <w:rPr>
          <w:rFonts w:hint="eastAsia" w:asciiTheme="minorEastAsia" w:hAnsiTheme="minorEastAsia" w:eastAsiaTheme="minorEastAsia" w:cstheme="minorEastAsia"/>
          <w:b/>
          <w:bCs/>
          <w:sz w:val="22"/>
          <w:szCs w:val="22"/>
        </w:rPr>
        <w:tab/>
      </w:r>
      <w:r>
        <w:rPr>
          <w:rFonts w:hint="eastAsia" w:asciiTheme="minorEastAsia" w:hAnsiTheme="minorEastAsia" w:eastAsiaTheme="minorEastAsia" w:cstheme="minorEastAsia"/>
          <w:b/>
          <w:bCs/>
          <w:sz w:val="22"/>
          <w:szCs w:val="22"/>
        </w:rPr>
        <w:t xml:space="preserve">  </w:t>
      </w:r>
      <w:r>
        <w:rPr>
          <w:rFonts w:hint="default" w:asciiTheme="minorEastAsia" w:hAnsiTheme="minorEastAsia" w:eastAsiaTheme="minorEastAsia" w:cstheme="minorEastAsia"/>
          <w:b/>
          <w:bCs/>
          <w:sz w:val="22"/>
          <w:szCs w:val="22"/>
        </w:rPr>
        <w:t xml:space="preserve"> </w:t>
      </w:r>
      <w:r>
        <w:rPr>
          <w:rFonts w:hint="eastAsia" w:asciiTheme="minorEastAsia" w:hAnsiTheme="minorEastAsia" w:eastAsiaTheme="minorEastAsia" w:cstheme="minorEastAsia"/>
          <w:b/>
          <w:bCs/>
          <w:sz w:val="24"/>
          <w:szCs w:val="24"/>
        </w:rPr>
        <w:t>miRNA样品测序错误率分布图，png格式</w:t>
      </w:r>
    </w:p>
    <w:p>
      <w:pPr>
        <w:keepNext w:val="0"/>
        <w:keepLines w:val="0"/>
        <w:pageBreakBefore w:val="0"/>
        <w:widowControl/>
        <w:suppressLineNumbers w:val="0"/>
        <w:kinsoku/>
        <w:wordWrap/>
        <w:overflowPunct/>
        <w:topLinePunct w:val="0"/>
        <w:autoSpaceDE/>
        <w:autoSpaceDN/>
        <w:bidi w:val="0"/>
        <w:adjustRightInd/>
        <w:snapToGrid/>
        <w:spacing w:line="360" w:lineRule="exact"/>
        <w:ind w:left="840" w:leftChars="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横坐标是碱基的位置,纵坐标是错误率；此图反映每个测序反应的测序质量，通常测序</w:t>
      </w:r>
      <w:r>
        <w:rPr>
          <w:rFonts w:hint="default" w:asciiTheme="minorEastAsia" w:hAnsiTheme="minorEastAsia" w:eastAsiaTheme="minorEastAsia" w:cstheme="minorEastAsia"/>
          <w:sz w:val="24"/>
          <w:szCs w:val="24"/>
          <w:lang w:val="en-US" w:eastAsia="zh-CN"/>
        </w:rPr>
        <w:t>序</w:t>
      </w:r>
      <w:r>
        <w:rPr>
          <w:rFonts w:hint="eastAsia" w:asciiTheme="minorEastAsia" w:hAnsiTheme="minorEastAsia" w:eastAsiaTheme="minorEastAsia" w:cstheme="minorEastAsia"/>
          <w:sz w:val="24"/>
          <w:szCs w:val="24"/>
          <w:lang w:val="en-US" w:eastAsia="zh-CN"/>
        </w:rPr>
        <w:t>列5'端前几个碱基的错误率相对较高。</w:t>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文泉驿微米黑">
    <w:altName w:val="Droid Sans Fallback"/>
    <w:panose1 w:val="020B0606030804020204"/>
    <w:charset w:val="86"/>
    <w:family w:val="auto"/>
    <w:pitch w:val="default"/>
    <w:sig w:usb0="00000000" w:usb1="00000000" w:usb2="00800036" w:usb3="00000000" w:csb0="603E01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KacstLetter">
    <w:panose1 w:val="02000000000000000000"/>
    <w:charset w:val="00"/>
    <w:family w:val="auto"/>
    <w:pitch w:val="default"/>
    <w:sig w:usb0="00002000" w:usb1="00000000" w:usb2="00000000"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5BF9F20"/>
    <w:rsid w:val="32E94F80"/>
    <w:rsid w:val="3F9948B5"/>
    <w:rsid w:val="53F2EFCF"/>
    <w:rsid w:val="73F53ED0"/>
    <w:rsid w:val="7ED7D67A"/>
    <w:rsid w:val="7F7F3C2B"/>
    <w:rsid w:val="A79D44D6"/>
    <w:rsid w:val="B7FF4648"/>
    <w:rsid w:val="D5BF9F20"/>
    <w:rsid w:val="EFFF0A70"/>
    <w:rsid w:val="F7DE2C35"/>
    <w:rsid w:val="FDD6E234"/>
    <w:rsid w:val="FEF367E5"/>
    <w:rsid w:val="FFFF172D"/>
    <w:rsid w:val="FFFFC5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682</Words>
  <Characters>1342</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2018-08-19T03:48:00Z</dcterms:created>
  <dc:creator>bmk</dc:creator>
  <cp:lastModifiedBy>bmk</cp:lastModifiedBy>
  <dcterms:modified xsi:type="dcterms:W3CDTF">2018-08-28T14:17:25Z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