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600" w:lineRule="exact"/>
        <w:jc w:val="center"/>
      </w:pPr>
      <w:r>
        <w:rPr>
          <w:rFonts w:ascii="黑体" w:hAnsi="黑体" w:eastAsia="黑体"/>
          <w:b/>
          <w:sz w:val="44"/>
        </w:rPr>
        <w:t>劳动人事争议仲裁答辩状</w:t>
      </w:r>
    </w:p>
    <w:p>
      <w:pPr>
        <w:pStyle w:val="LegalNoIndent"/>
      </w:pPr>
      <w:r>
        <w:rPr>
          <w:rFonts w:ascii="仿宋_GB2312" w:hAnsi="仿宋_GB2312" w:eastAsia="仿宋_GB2312"/>
        </w:rPr>
        <w:t>答辩人（被申请人）：〔单位名称或姓名〕</w:t>
      </w:r>
    </w:p>
    <w:p>
      <w:pPr>
        <w:pStyle w:val="LegalNoIndent"/>
      </w:pPr>
      <w:r>
        <w:rPr>
          <w:rFonts w:ascii="仿宋_GB2312" w:hAnsi="仿宋_GB2312" w:eastAsia="仿宋_GB2312"/>
        </w:rPr>
        <w:t>统一社会信用代码/身份证号码：〔填写〕</w:t>
      </w:r>
    </w:p>
    <w:p>
      <w:pPr>
        <w:pStyle w:val="LegalNoIndent"/>
      </w:pPr>
      <w:r>
        <w:rPr>
          <w:rFonts w:ascii="仿宋_GB2312" w:hAnsi="仿宋_GB2312" w:eastAsia="仿宋_GB2312"/>
        </w:rPr>
        <w:t>住所地：〔填写〕</w:t>
      </w:r>
    </w:p>
    <w:p>
      <w:pPr>
        <w:pStyle w:val="LegalNoIndent"/>
      </w:pPr>
      <w:r>
        <w:rPr>
          <w:rFonts w:ascii="仿宋_GB2312" w:hAnsi="仿宋_GB2312" w:eastAsia="仿宋_GB2312"/>
        </w:rPr>
        <w:t>法定代表人/负责人：〔填写，个人可删除本行〕</w:t>
      </w:r>
    </w:p>
    <w:p>
      <w:pPr>
        <w:pStyle w:val="LegalNoIndent"/>
      </w:pPr>
      <w:r>
        <w:rPr>
          <w:rFonts w:ascii="仿宋_GB2312" w:hAnsi="仿宋_GB2312" w:eastAsia="仿宋_GB2312"/>
        </w:rPr>
        <w:t>委托代理人：〔填写〕</w:t>
      </w:r>
    </w:p>
    <w:p>
      <w:pPr>
        <w:pStyle w:val="LegalNoIndent"/>
      </w:pPr>
      <w:r>
        <w:rPr>
          <w:rFonts w:ascii="仿宋_GB2312" w:hAnsi="仿宋_GB2312" w:eastAsia="仿宋_GB2312"/>
        </w:rPr>
        <w:t>联系电话：〔填写〕</w:t>
      </w:r>
    </w:p>
    <w:p>
      <w:pPr>
        <w:pStyle w:val="LegalNoIndent"/>
      </w:pPr>
      <w:r>
        <w:rPr>
          <w:rFonts w:ascii="仿宋_GB2312" w:hAnsi="仿宋_GB2312" w:eastAsia="仿宋_GB2312"/>
        </w:rPr>
      </w:r>
    </w:p>
    <w:p>
      <w:pPr>
        <w:pStyle w:val="LegalNoIndent"/>
      </w:pPr>
      <w:r>
        <w:rPr>
          <w:rFonts w:ascii="仿宋_GB2312" w:hAnsi="仿宋_GB2312" w:eastAsia="仿宋_GB2312"/>
        </w:rPr>
        <w:t>被答辩人（申请人）：〔姓名或单位名称〕</w:t>
      </w:r>
    </w:p>
    <w:p>
      <w:pPr>
        <w:pStyle w:val="LegalNoIndent"/>
      </w:pPr>
      <w:r>
        <w:rPr>
          <w:rFonts w:ascii="仿宋_GB2312" w:hAnsi="仿宋_GB2312" w:eastAsia="仿宋_GB2312"/>
        </w:rPr>
        <w:t>身份证号码/统一社会信用代码：〔填写〕</w:t>
      </w:r>
    </w:p>
    <w:p>
      <w:pPr>
        <w:pStyle w:val="LegalNoIndent"/>
      </w:pPr>
      <w:r>
        <w:rPr>
          <w:rFonts w:ascii="仿宋_GB2312" w:hAnsi="仿宋_GB2312" w:eastAsia="仿宋_GB2312"/>
        </w:rPr>
        <w:t>住所地/通讯地址：〔填写〕</w:t>
      </w:r>
    </w:p>
    <w:p>
      <w:pPr>
        <w:pStyle w:val="LegalNoIndent"/>
      </w:pPr>
      <w:r>
        <w:rPr>
          <w:rFonts w:ascii="仿宋_GB2312" w:hAnsi="仿宋_GB2312" w:eastAsia="仿宋_GB2312"/>
        </w:rPr>
        <w:t>案号：〔如已知，填写〕</w:t>
      </w:r>
    </w:p>
    <w:p>
      <w:pPr>
        <w:pStyle w:val="LegalNoIndent"/>
      </w:pPr>
      <w:r>
        <w:rPr>
          <w:rFonts w:ascii="仿宋_GB2312" w:hAnsi="仿宋_GB2312" w:eastAsia="仿宋_GB2312"/>
        </w:rPr>
      </w:r>
    </w:p>
    <w:p>
      <w:pPr>
        <w:pStyle w:val="LegalNoIndent"/>
      </w:pPr>
      <w:r>
        <w:rPr>
          <w:rFonts w:ascii="仿宋_GB2312" w:hAnsi="仿宋_GB2312" w:eastAsia="仿宋_GB2312"/>
        </w:rPr>
        <w:t>答辩人因与被答辩人劳动人事争议一案，现针对被答辩人的仲裁请求，提出答辩如下：</w:t>
      </w:r>
    </w:p>
    <w:p>
      <w:pPr>
        <w:pStyle w:val="LegalHeading"/>
      </w:pPr>
      <w:r>
        <w:rPr>
          <w:rFonts w:ascii="黑体" w:hAnsi="黑体" w:eastAsia="黑体"/>
        </w:rPr>
        <w:t>一、答辩请求</w:t>
      </w:r>
    </w:p>
    <w:p>
      <w:pPr>
        <w:pStyle w:val="LegalList"/>
        <w:numPr>
          <w:ilvl w:val="0"/>
          <w:numId w:val="10"/>
        </w:numPr>
      </w:pPr>
      <w:r>
        <w:rPr>
          <w:rFonts w:ascii="仿宋_GB2312" w:hAnsi="仿宋_GB2312" w:eastAsia="仿宋_GB2312"/>
        </w:rPr>
        <w:t>请求依法驳回被答辩人的全部/部分仲裁请求；</w:t>
      </w:r>
    </w:p>
    <w:p>
      <w:pPr>
        <w:pStyle w:val="LegalList"/>
        <w:numPr>
          <w:ilvl w:val="0"/>
          <w:numId w:val="10"/>
        </w:numPr>
      </w:pPr>
      <w:r>
        <w:rPr>
          <w:rFonts w:ascii="仿宋_GB2312" w:hAnsi="仿宋_GB2312" w:eastAsia="仿宋_GB2312"/>
        </w:rPr>
        <w:t>其他：〔仅填写与本案实际争议和程序相符的请求，无则删除〕。</w:t>
      </w:r>
    </w:p>
    <w:p>
      <w:pPr>
        <w:pStyle w:val="LegalNoIndent"/>
      </w:pPr>
      <w:r>
        <w:rPr>
          <w:rFonts w:ascii="仿宋_GB2312" w:hAnsi="仿宋_GB2312" w:eastAsia="仿宋_GB2312"/>
        </w:rPr>
      </w:r>
    </w:p>
    <w:p>
      <w:pPr>
        <w:pStyle w:val="LegalHeading"/>
      </w:pPr>
      <w:r>
        <w:rPr>
          <w:rFonts w:ascii="黑体" w:hAnsi="黑体" w:eastAsia="黑体"/>
        </w:rPr>
        <w:t>二、答辩意见</w:t>
      </w:r>
    </w:p>
    <w:p>
      <w:pPr>
        <w:pStyle w:val="LegalBody"/>
      </w:pPr>
      <w:r>
        <w:rPr>
          <w:rFonts w:ascii="仿宋_GB2312" w:hAnsi="仿宋_GB2312" w:eastAsia="仿宋_GB2312"/>
        </w:rPr>
        <w:t>〔用简短段落先给出总体答辩结论、核心争点和主要裁判路径；不主动展开对方未提出且对己方不利的争议。〕</w:t>
      </w:r>
    </w:p>
    <w:p>
      <w:pPr>
        <w:pStyle w:val="LegalNoIndent"/>
      </w:pPr>
      <w:r>
        <w:rPr>
          <w:rFonts w:ascii="仿宋_GB2312" w:hAnsi="仿宋_GB2312" w:eastAsia="仿宋_GB2312"/>
        </w:rPr>
      </w:r>
    </w:p>
    <w:p>
      <w:pPr>
        <w:pStyle w:val="LegalHeading"/>
      </w:pPr>
      <w:r>
        <w:rPr>
          <w:rFonts w:ascii="黑体" w:hAnsi="黑体" w:eastAsia="黑体"/>
        </w:rPr>
        <w:t>三、事实与理由</w:t>
      </w:r>
    </w:p>
    <w:p>
      <w:pPr>
        <w:pStyle w:val="LegalBody"/>
      </w:pPr>
      <w:r>
        <w:rPr>
          <w:rFonts w:ascii="仿宋_GB2312" w:hAnsi="仿宋_GB2312" w:eastAsia="仿宋_GB2312"/>
        </w:rPr>
        <w:t>〔先确定可能直接决定请求能否成立的协议、结算、程序或其他主抗辩，并写明相应事实基础。〕</w:t>
      </w:r>
    </w:p>
    <w:p>
      <w:pPr>
        <w:pStyle w:val="LegalBody"/>
      </w:pPr>
      <w:r>
        <w:rPr>
          <w:rFonts w:ascii="仿宋_GB2312" w:hAnsi="仿宋_GB2312" w:eastAsia="仿宋_GB2312"/>
        </w:rPr>
        <w:t>〔针对各项仲裁请求逐项回应；只展开案件所必需的事实、证据和法律问题，避免无必要的自我举证负担。〕</w:t>
      </w:r>
    </w:p>
    <w:p>
      <w:pPr>
        <w:pStyle w:val="LegalBody"/>
      </w:pPr>
      <w:r>
        <w:rPr>
          <w:rFonts w:ascii="仿宋_GB2312" w:hAnsi="仿宋_GB2312" w:eastAsia="仿宋_GB2312"/>
        </w:rPr>
        <w:t>〔按实际争点增加、删除或调整分项，必要时设置备位抗辩；不得机械保留模板提示或示例论点。〕</w:t>
      </w:r>
    </w:p>
    <w:p>
      <w:pPr>
        <w:pStyle w:val="LegalBody"/>
      </w:pPr>
      <w:r>
        <w:rPr>
          <w:rFonts w:ascii="仿宋_GB2312" w:hAnsi="仿宋_GB2312" w:eastAsia="仿宋_GB2312"/>
        </w:rPr>
        <w:t>〔关键事实须与材料及独立证据目录对应；证据名称、编号、页码和证明事项不在正文另设章节。〕</w:t>
      </w:r>
    </w:p>
    <w:p>
      <w:pPr>
        <w:pStyle w:val="LegalNoIndent"/>
      </w:pPr>
      <w:r>
        <w:rPr>
          <w:rFonts w:ascii="仿宋_GB2312" w:hAnsi="仿宋_GB2312" w:eastAsia="仿宋_GB2312"/>
        </w:rPr>
      </w:r>
    </w:p>
    <w:p>
      <w:pPr>
        <w:pStyle w:val="LegalHeading"/>
      </w:pPr>
      <w:r>
        <w:rPr>
          <w:rFonts w:ascii="黑体" w:hAnsi="黑体" w:eastAsia="黑体"/>
        </w:rPr>
        <w:t>四、综合意见</w:t>
      </w:r>
    </w:p>
    <w:p>
      <w:pPr>
        <w:pStyle w:val="LegalBody"/>
      </w:pPr>
      <w:r>
        <w:rPr>
          <w:rFonts w:ascii="仿宋_GB2312" w:hAnsi="仿宋_GB2312" w:eastAsia="仿宋_GB2312"/>
        </w:rPr>
        <w:t>〔归纳事实、证据和法律依据与答辩请求之间的对应关系，请求仲裁委员会依法裁决。〕</w:t>
      </w:r>
    </w:p>
    <w:p>
      <w:pPr>
        <w:pStyle w:val="LegalNoIndent"/>
      </w:pPr>
      <w:r>
        <w:rPr>
          <w:rFonts w:ascii="仿宋_GB2312" w:hAnsi="仿宋_GB2312" w:eastAsia="仿宋_GB2312"/>
        </w:rPr>
      </w:r>
    </w:p>
    <w:p>
      <w:pPr>
        <w:pStyle w:val="LegalNoIndent"/>
      </w:pPr>
      <w:r>
        <w:rPr>
          <w:rFonts w:ascii="仿宋_GB2312" w:hAnsi="仿宋_GB2312" w:eastAsia="仿宋_GB2312"/>
        </w:rPr>
        <w:t>此致</w:t>
      </w:r>
    </w:p>
    <w:p>
      <w:pPr>
        <w:pStyle w:val="LegalNoIndent"/>
      </w:pPr>
      <w:r>
        <w:rPr>
          <w:rFonts w:ascii="仿宋_GB2312" w:hAnsi="仿宋_GB2312" w:eastAsia="仿宋_GB2312"/>
        </w:rPr>
        <w:t>〔劳动人事争议仲裁委员会名称〕</w:t>
      </w:r>
    </w:p>
    <w:p>
      <w:pPr>
        <w:pStyle w:val="LegalNoIndent"/>
      </w:pPr>
      <w:r>
        <w:rPr>
          <w:rFonts w:ascii="仿宋_GB2312" w:hAnsi="仿宋_GB2312" w:eastAsia="仿宋_GB2312"/>
        </w:rPr>
      </w:r>
    </w:p>
    <w:p>
      <w:pPr>
        <w:pStyle w:val="LegalNoIndent"/>
      </w:pPr>
      <w:r>
        <w:rPr>
          <w:rFonts w:ascii="仿宋_GB2312" w:hAnsi="仿宋_GB2312" w:eastAsia="仿宋_GB2312"/>
        </w:rPr>
      </w:r>
    </w:p>
    <w:p>
      <w:pPr>
        <w:pStyle w:val="LegalSignature"/>
      </w:pPr>
      <w:r>
        <w:rPr>
          <w:rFonts w:ascii="仿宋_GB2312" w:hAnsi="仿宋_GB2312" w:eastAsia="仿宋_GB2312"/>
        </w:rPr>
        <w:t>答辩人：〔签名或盖章〕</w:t>
      </w:r>
    </w:p>
    <w:p>
      <w:pPr>
        <w:pStyle w:val="LegalSignature"/>
      </w:pPr>
      <w:r>
        <w:rPr>
          <w:rFonts w:ascii="仿宋_GB2312" w:hAnsi="仿宋_GB2312" w:eastAsia="仿宋_GB2312"/>
        </w:rPr>
        <w:t>〔    〕年〔  〕月〔  〕日</w:t>
      </w:r>
    </w:p>
    <w:sectPr w:rsidR="00FC693F" w:rsidRPr="0006063C" w:rsidSect="00034616">
      <w:footerReference w:type="default" r:id="rId9"/>
      <w:pgSz w:w="11906" w:h="16838"/>
      <w:pgMar w:top="1474" w:right="1417" w:bottom="1361" w:left="1587" w:header="72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仿宋_GB2312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  <w:pPr>
        <w:ind w:left="720" w:hanging="36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560" w:lineRule="exact"/>
    </w:pPr>
    <w:rPr>
      <w:rFonts w:ascii="Times New Roman" w:hAnsi="Times New Roman" w:eastAsia="仿宋_GB2312"/>
      <w:b w:val="0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Body">
    <w:name w:val="Legal Body"/>
    <w:pPr>
      <w:spacing w:before="0" w:after="0" w:line="560" w:lineRule="exact"/>
      <w:ind w:firstLine="641"/>
    </w:pPr>
    <w:rPr>
      <w:rFonts w:ascii="Times New Roman" w:hAnsi="Times New Roman" w:eastAsia="仿宋_GB2312"/>
      <w:b w:val="0"/>
      <w:color w:val="000000"/>
      <w:sz w:val="32"/>
    </w:rPr>
  </w:style>
  <w:style w:type="paragraph" w:customStyle="1" w:styleId="LegalNoIndent">
    <w:name w:val="Legal No Indent"/>
    <w:pPr>
      <w:spacing w:before="0" w:after="0" w:line="560" w:lineRule="exact"/>
    </w:pPr>
    <w:rPr>
      <w:rFonts w:ascii="Times New Roman" w:hAnsi="Times New Roman" w:eastAsia="仿宋_GB2312"/>
      <w:b w:val="0"/>
      <w:color w:val="000000"/>
      <w:sz w:val="32"/>
    </w:rPr>
  </w:style>
  <w:style w:type="paragraph" w:customStyle="1" w:styleId="LegalHeading">
    <w:name w:val="Legal Heading"/>
    <w:pPr>
      <w:spacing w:before="120" w:after="0" w:line="560" w:lineRule="exact"/>
    </w:pPr>
    <w:rPr>
      <w:rFonts w:ascii="Times New Roman" w:hAnsi="Times New Roman" w:eastAsia="黑体"/>
      <w:b/>
      <w:color w:val="000000"/>
      <w:sz w:val="32"/>
    </w:rPr>
  </w:style>
  <w:style w:type="paragraph" w:customStyle="1" w:styleId="LegalSignature">
    <w:name w:val="Legal Signature"/>
    <w:pPr>
      <w:spacing w:before="0" w:after="0" w:line="560" w:lineRule="exact"/>
      <w:jc w:val="right"/>
    </w:pPr>
    <w:rPr>
      <w:rFonts w:ascii="Times New Roman" w:hAnsi="Times New Roman" w:eastAsia="仿宋_GB2312"/>
      <w:b w:val="0"/>
      <w:color w:val="000000"/>
      <w:sz w:val="32"/>
    </w:rPr>
  </w:style>
  <w:style w:type="paragraph" w:customStyle="1" w:styleId="LegalList">
    <w:name w:val="Legal List"/>
    <w:pPr>
      <w:spacing w:before="0" w:after="0" w:line="560" w:lineRule="exact"/>
    </w:pPr>
    <w:rPr>
      <w:rFonts w:ascii="Times New Roman" w:hAnsi="Times New Roman" w:eastAsia="仿宋_GB2312"/>
      <w:b w:val="0"/>
      <w:color w:val="000000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LegalOS</dc:creator>
  <cp:keywords>LegalOS, pleading template</cp:keywords>
  <dc:description>Generic public template; no matter data.</dc:description>
  <cp:lastModifiedBy>LegalOS</cp:lastModifiedBy>
  <cp:revision>1</cp:revision>
  <dcterms:created xsi:type="dcterms:W3CDTF">2026-07-17T00:00:00Z</dcterms:created>
  <dcterms:modified xsi:type="dcterms:W3CDTF">2026-07-17T00:00:00Z</dcterms:modified>
  <cp:category/>
</cp:coreProperties>
</file>