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 w:line="240" w:lineRule="auto"/>
        <w:jc w:val="left"/>
      </w:pPr>
      <w:r>
        <w:rPr>
          <w:rFonts w:ascii="Calibri" w:hAnsi="Calibri" w:eastAsia="PingFang SC"/>
          <w:b/>
          <w:i w:val="0"/>
          <w:color w:val="0B2545"/>
          <w:sz w:val="46"/>
        </w:rPr>
        <w:t>业务邮件沟通｜标准模板</w:t>
      </w:r>
    </w:p>
    <w:p>
      <w:pPr>
        <w:spacing w:after="240"/>
      </w:pPr>
      <w:r>
        <w:rPr>
          <w:rFonts w:ascii="Calibri" w:hAnsi="Calibri" w:eastAsia="PingFang SC"/>
          <w:b w:val="0"/>
          <w:i/>
          <w:color w:val="555555"/>
          <w:sz w:val="22"/>
        </w:rPr>
        <w:t>适用于内部或一般业务外部邮件的工作准备，不替代正式函件或通知；External 仅复制经核验且获授权的可发送文本。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PingFang SC"/>
                <w:b/>
                <w:i w:val="0"/>
                <w:color w:val="0B2545"/>
                <w:sz w:val="20"/>
              </w:rPr>
              <w:t>工作台说明：本文件仅用于内部准备，不是自动外发稿。先在邮件元信息中选择 Internal 或 External；External 仅复制已核验并获授权的最小必要文本，Internal 保留完整风险和不同观点。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一、邮件元信息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7D0DB"/>
          <w:left w:val="single" w:sz="6" w:space="0" w:color="C7D0DB"/>
          <w:bottom w:val="single" w:sz="6" w:space="0" w:color="C7D0DB"/>
          <w:right w:val="single" w:sz="6" w:space="0" w:color="C7D0DB"/>
          <w:insideH w:val="single" w:sz="6" w:space="0" w:color="C7D0DB"/>
          <w:insideV w:val="single" w:sz="6" w:space="0" w:color="C7D0DB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0B2545"/>
                <w:sz w:val="19"/>
              </w:rPr>
              <w:t>字段</w:t>
            </w:r>
          </w:p>
        </w:tc>
        <w:tc>
          <w:tcPr>
            <w:tcW w:type="dxa" w:w="7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0B2545"/>
                <w:sz w:val="19"/>
              </w:rPr>
              <w:t>填写/核验内容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主题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〔必填：结论/动作/期限〕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收件人/抄送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〔必填：Internal 或 External；核对收件人、抄送和权限〕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附件/版本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〔如有请填写：文件名和版本；无则删除本项〕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回复期限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〔如有请填写：期限及依据；无则删除本项〕</w:t>
            </w:r>
          </w:p>
        </w:tc>
      </w:tr>
    </w:tbl>
    <w:p>
      <w:pPr>
        <w:spacing w:after="40"/>
      </w:pPr>
    </w:p>
    <w:p>
      <w:pPr>
        <w:pStyle w:val="Heading1"/>
      </w:pPr>
      <w:r>
        <w:t>二、口径结构（按场景取用）</w:t>
      </w:r>
    </w:p>
    <w:p>
      <w:pPr>
        <w:spacing w:after="120"/>
      </w:pPr>
      <w:r>
        <w:rPr>
          <w:rFonts w:ascii="Calibri" w:hAnsi="Calibri" w:eastAsia="PingFang SC"/>
          <w:b w:val="0"/>
          <w:i w:val="0"/>
          <w:color w:val="1F2937"/>
          <w:sz w:val="22"/>
        </w:rPr>
        <w:t>【Internal分析】〔填写：风险、不同观点、证据缺口和建议〕</w:t>
        <w:br/>
        <w:t>【External可发送文本】〔填写：仅写对方需知道或完成的已核验事实、结论和动作〕</w:t>
        <w:br/>
        <w:t>【待办】〔填写：责任人、动作、期限和回复方式〕</w:t>
        <w:br/>
        <w:t>【附件与边界】〔填写：必要附件、版本及不超出授权的表达边界〕</w:t>
      </w:r>
    </w:p>
    <w:p>
      <w:pPr>
        <w:pStyle w:val="Heading1"/>
      </w:pPr>
      <w:r>
        <w:t>三、发送前检查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7D0DB"/>
          <w:left w:val="single" w:sz="6" w:space="0" w:color="C7D0DB"/>
          <w:bottom w:val="single" w:sz="6" w:space="0" w:color="C7D0DB"/>
          <w:right w:val="single" w:sz="6" w:space="0" w:color="C7D0DB"/>
          <w:insideH w:val="single" w:sz="6" w:space="0" w:color="C7D0DB"/>
          <w:insideV w:val="single" w:sz="6" w:space="0" w:color="C7D0DB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0B2545"/>
                <w:sz w:val="19"/>
              </w:rPr>
              <w:t>字段</w:t>
            </w:r>
          </w:p>
        </w:tc>
        <w:tc>
          <w:tcPr>
            <w:tcW w:type="dxa" w:w="7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0B2545"/>
                <w:sz w:val="19"/>
              </w:rPr>
              <w:t>填写/核验内容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事实来源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〔填写：文件、记录或数据及核验结果〕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权利影响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〔填写：是否涉及责任、价格、期限、和解或解除；Internal保留完整分析〕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External不得写入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〔填写：内部策略、未核金额、未提出的对方路径、谈判底线、备用方案和未经授权承诺〕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9360"/>
      </w:tblGrid>
      <w:tr>
        <w:tc>
          <w:tcPr>
            <w:tcW w:type="dxa" w:w="9360"/>
            <w:shd w:fill="FDEC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PingFang SC"/>
                <w:b/>
                <w:i w:val="0"/>
                <w:color w:val="0B2545"/>
                <w:sz w:val="20"/>
              </w:rPr>
              <w:t>发送前：再次确认场景、事实来源、承诺权限、附件版本；External 与 Internal 文本不得混用，涉及正式通知、现行法律、金额或期限冲突、权利影响时转相应路由。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PingFang SC"/>
        <w:b w:val="0"/>
        <w:i w:val="0"/>
        <w:color w:val="555555"/>
        <w:sz w:val="18"/>
      </w:rPr>
      <w:t xml:space="preserve">第 </w:t>
    </w:r>
    <w:r>
      <w:rPr>
        <w:rFonts w:ascii="Calibri" w:hAnsi="Calibri" w:eastAsia="PingFang SC"/>
        <w:b w:val="0"/>
        <w:i w:val="0"/>
        <w:color w:val="555555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PingFang SC"/>
        <w:b w:val="0"/>
        <w:i w:val="0"/>
        <w:color w:val="55555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PingFang SC"/>
        <w:b w:val="0"/>
        <w:i w:val="0"/>
        <w:color w:val="555555"/>
        <w:sz w:val="18"/>
      </w:rPr>
      <w:t>Legal OS v1.9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PingFang SC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Legal OS</dc:creator>
  <cp:keywords/>
  <dc:description>generated by python-docx</dc:description>
  <cp:lastModifiedBy>Legal OS</cp:lastModifiedBy>
  <cp:revision>1</cp:revision>
  <dcterms:created xsi:type="dcterms:W3CDTF">2026-07-17T00:00:00Z</dcterms:created>
  <dcterms:modified xsi:type="dcterms:W3CDTF">2026-07-17T00:00:00Z</dcterms:modified>
  <cp:category/>
</cp:coreProperties>
</file>