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560" w:lineRule="exact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正式函件标准格式说明</w:t>
      </w:r>
    </w:p>
    <w:p>
      <w:pPr>
        <w:spacing w:after="160" w:line="360" w:lineRule="exact"/>
        <w:jc w:val="center"/>
      </w:pPr>
      <w:r>
        <w:rPr>
          <w:rFonts w:ascii="Times New Roman" w:hAnsi="Times New Roman" w:eastAsia="仿宋_GB2312"/>
          <w:color w:val="5A5A5A"/>
          <w:sz w:val="20"/>
        </w:rPr>
        <w:t>Legal OS v1.6 / Formal Correspondence Workspace</w:t>
      </w:r>
    </w:p>
    <w:tbl>
      <w:tblPr>
        <w:tblStyle w:val="TableGrid"/>
        <w:tblW w:type="dxa" w:w="8902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268"/>
        <w:gridCol w:w="6634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字段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适用范围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律师函、催款及履约通知函、回复函、情况说明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核心顺序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收件信息 → 事实 → 依据 → 要求/回复 → 期限 → 权利保留 → 附件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外发前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完成事实、证据、法律依据、期限、收件信息和授权检查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禁止事项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不得把内部策略、待核事实或未经核验法条直接放入外发正文</w:t>
            </w:r>
          </w:p>
        </w:tc>
      </w:tr>
    </w:tbl>
    <w:p>
      <w:pPr>
        <w:pStyle w:val="LegalNoIndent"/>
      </w:pP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一、正式函件与内部分析分离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内部风险判断、谈判底线、备用方案和发送策略应放入内部审阅包，外发正文只保留可核验、必要且适合收件人阅读的内容。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二、事实和期限控制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每一项事实、金额、日期、履行状态和期限均应能回溯到当次材料。期限的起算点、工作日/自然日口径、送达方式和后果必须在外发前核实。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三、权利保留与表达边界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不得无必要承认责任、放弃权利、作出和解或终止表示。需要保留权利时，应根据真实目的和已核验材料使用克制、明确的表达。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四、外部动作权限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起草、内部审阅、发送、送达、提交和签署分别记录。模板可用不等于已经获得外发、送达或法律行动授权。</w:t>
      </w:r>
    </w:p>
    <w:p>
      <w:pPr>
        <w:pStyle w:val="TemplateNote"/>
        <w:spacing w:before="240" w:line="320" w:lineRule="exact"/>
      </w:pPr>
      <w:r>
        <w:rPr>
          <w:rFonts w:ascii="Times New Roman" w:hAnsi="Times New Roman" w:eastAsia="仿宋_GB2312"/>
          <w:color w:val="5A5A5A"/>
          <w:sz w:val="20"/>
        </w:rPr>
        <w:t>【模板控制提示：外发前删除本提示，并完成事实、证据、法律依据、期限、附件、收件信息及外发权限检查。模板本身不构成已授权发送。】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480" w:lineRule="exact"/>
      <w:ind w:firstLine="641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NoIndent">
    <w:name w:val="Legal No Indent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Heading">
    <w:name w:val="Legal Heading"/>
    <w:pPr>
      <w:spacing w:before="0" w:after="0" w:line="480" w:lineRule="exact"/>
    </w:pPr>
    <w:rPr>
      <w:rFonts w:ascii="Times New Roman" w:hAnsi="Times New Roman" w:eastAsia="黑体"/>
      <w:b/>
      <w:color w:val="000000"/>
      <w:sz w:val="29"/>
    </w:rPr>
  </w:style>
  <w:style w:type="paragraph" w:customStyle="1" w:styleId="LegalSignature">
    <w:name w:val="Legal Signature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TemplateNote">
    <w:name w:val="Template Note"/>
    <w:pPr>
      <w:spacing w:before="0" w:after="0" w:line="300" w:lineRule="exact"/>
    </w:pPr>
    <w:rPr>
      <w:rFonts w:ascii="Times New Roman" w:hAnsi="Times New Roman" w:eastAsia="仿宋_GB2312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