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Times New Roman" w:hAnsi="Times New Roman" w:eastAsia="黑体"/>
          <w:b/>
          <w:sz w:val="44"/>
        </w:rPr>
        <w:t>法律文书标准格式说明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一、适用范围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本模板包适用于民事起诉状、民事答辩状、仲裁申请书、仲裁答辩书及证据目录。整体风格按正式提交件处理，以清晰、稳妥、便于打印盖章为优先。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二、通用页面与字体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正文类文书统一采用 A4 竖版，页边距为上 2.6cm、下 2.4cm、左 2.8cm、右 2.5cm；标题为黑体二号，正文为仿宋_GB2312 三号，正文固定行距 28 磅。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三、段落与层级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当事人信息、案由、此致和落款不缩进；普通正文首行缩进两个汉字；一级标题采用“一、二、三”格式，黑体三号加粗。请求事项使用真实 Word 自动编号，便于增删后自动更新。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四、证据目录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证据目录采用独立紧凑版式，页边距较窄，并将样本中的三列表格优化为“编号、证据名称、页码、证明事项”四列。表头设置为跨页重复，表格行高不固定，避免内容较多时被截断。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五、盖章和提交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模板本身不嵌入印章图片。建议定稿后另存 PDF 或打印后盖章，避免修改正文时印章位置漂移。落款区域已预留右侧签章空间。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