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记忆更新候选差异表｜标准模板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用于在修改长期规则、事项记忆、Skill、模板或自动化前提交可审计候选。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模板说明：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这是内部记忆治理模板，不是当前事实或法律结论。请记录来源、日期、核验状态、敏感边界、目标位置、期限和用户确认。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一、候选变更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现有内容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〔原位置/原文摘要〕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建议内容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〔最小变更〕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分类/目标位置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〔L1-L6/Skill/模板/事项〕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变更理由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〔来源、重复、缺口、用户偏好〕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二、风险与回退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动态事实/隐私检查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〔通过/待核〕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影响范围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〔哪些任务/版本〕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回退方式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〔旧版/归档/反向补丁〕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用户确认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〔待确认/已确认/拒绝〕</w:t>
            </w:r>
          </w:p>
        </w:tc>
      </w:tr>
    </w:tbl>
    <w:p>
      <w:pPr>
        <w:spacing w:after="40"/>
      </w:pPr>
    </w:p>
    <w:p>
      <w:pPr>
        <w:pStyle w:val="Heading1"/>
      </w:pPr>
      <w:r>
        <w:t>三、落地记录</w:t>
      </w:r>
    </w:p>
    <w:p>
      <w:pPr>
        <w:spacing w:after="120"/>
      </w:pPr>
      <w:r>
        <w:rPr>
          <w:rFonts w:ascii="Calibri" w:hAnsi="Calibri" w:eastAsia="PingFang SC"/>
          <w:b w:val="0"/>
          <w:i w:val="0"/>
          <w:color w:val="1F2937"/>
          <w:sz w:val="22"/>
        </w:rPr>
        <w:t>〔批准日期、版本、索引、测试和复查日期〕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交付前：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确认分类、来源、去敏、查重、期限、目标位置、回退关系和用户授权；不直接覆盖或删除现有长期资产。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 v1.12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