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周报/月报状态报告｜标准模板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用于形成内部、客户或领导可读的状态报告。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这是内部报告/汇报模板，不是事实或法律结论。请逐项记录来源、期间、RAG 理由、负责人、目标日期和待核验缺口。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一、范围与摘要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事项/期间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受众/版本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〔内部/客户/领导；版本号〕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总体 RAG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〔Green/Amber/Red + 理由〕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执行摘要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〔结论、进展、主要风险、需决定事项〕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二、工作流状态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工作流/负责人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本期进展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〔结果，不写单纯活动〕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依赖/风险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〔影响和缓解〕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下一步/目标日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〔负责人+日期〕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来源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〔文件/邮件/台账〕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三、缺口与交付 QC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〔未覆盖工作流、待核验金额/日期、内部/客户边界、版本和权限〕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确认事项范围、报告期间、受众、来源、数字口径、中文渲染、版本和外发权限；不把待核验内容标为最终。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