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b/>
          <w:i w:val="0"/>
          <w:color w:val="000000"/>
          <w:sz w:val="44"/>
        </w:rPr>
        <w:t>D1. Literature and Technology Review</w:t>
      </w:r>
    </w:p>
    <w:p>
      <w:pPr>
        <w:spacing w:after="280"/>
      </w:pPr>
      <w:r>
        <w:rPr>
          <w:rFonts w:ascii="Arial" w:hAnsi="Arial"/>
          <w:b w:val="0"/>
          <w:i/>
          <w:color w:val="000000"/>
          <w:sz w:val="22"/>
        </w:rPr>
        <w:t>Technology review for AI-based cybersecurity audit assessment against a benchmark.</w:t>
      </w:r>
    </w:p>
    <w:tbl>
      <w:tblPr>
        <w:tblStyle w:val="TableGrid"/>
        <w:tblW w:type="dxa" w:w="9360"/>
        <w:tblLayout w:type="fixed"/>
        <w:tblLook w:firstColumn="1" w:firstRow="1" w:lastColumn="0" w:lastRow="0" w:noHBand="0" w:noVBand="1" w:val="04A0"/>
        <w:tblInd w:w="120" w:type="dxa"/>
      </w:tblPr>
      <w:tblGrid>
        <w:gridCol w:w="1850"/>
        <w:gridCol w:w="7510"/>
      </w:tblGrid>
      <w:tr>
        <w:tc>
          <w:tcPr>
            <w:tcW w:type="dxa" w:w="1850"/>
            <w:vAlign w:val="center"/>
            <w:tcMar>
              <w:top w:w="80" w:type="dxa"/>
              <w:start w:w="120" w:type="dxa"/>
              <w:bottom w:w="80" w:type="dxa"/>
              <w:end w:w="120" w:type="dxa"/>
            </w:tcMar>
          </w:tcPr>
          <w:p>
            <w:pPr>
              <w:spacing w:after="20"/>
            </w:pPr>
            <w:r/>
            <w:r>
              <w:rPr>
                <w:rFonts w:ascii="Arial" w:hAnsi="Arial"/>
                <w:b/>
                <w:i w:val="0"/>
                <w:color w:val="000000"/>
                <w:sz w:val="18"/>
              </w:rPr>
              <w:t>Field</w:t>
            </w:r>
          </w:p>
        </w:tc>
        <w:tc>
          <w:tcPr>
            <w:tcW w:type="dxa" w:w="7510"/>
            <w:vAlign w:val="center"/>
            <w:tcMar>
              <w:top w:w="80" w:type="dxa"/>
              <w:start w:w="120" w:type="dxa"/>
              <w:bottom w:w="80" w:type="dxa"/>
              <w:end w:w="120" w:type="dxa"/>
            </w:tcMar>
          </w:tcPr>
          <w:p>
            <w:pPr>
              <w:spacing w:after="20"/>
            </w:pPr>
            <w:r/>
            <w:r>
              <w:rPr>
                <w:rFonts w:ascii="Arial" w:hAnsi="Arial"/>
                <w:b/>
                <w:i w:val="0"/>
                <w:color w:val="000000"/>
                <w:sz w:val="18"/>
              </w:rPr>
              <w:t>Value</w:t>
            </w:r>
          </w:p>
        </w:tc>
      </w:tr>
      <w:tr>
        <w:tc>
          <w:tcPr>
            <w:tcW w:type="dxa" w:w="1850"/>
            <w:vAlign w:val="center"/>
            <w:tcMar>
              <w:top w:w="80" w:type="dxa"/>
              <w:start w:w="120" w:type="dxa"/>
              <w:bottom w:w="80" w:type="dxa"/>
              <w:end w:w="120" w:type="dxa"/>
            </w:tcMar>
          </w:tcPr>
          <w:p>
            <w:pPr>
              <w:spacing w:after="20" w:line="252" w:lineRule="auto"/>
            </w:pPr>
            <w:r/>
            <w:r>
              <w:rPr>
                <w:rFonts w:ascii="Arial" w:hAnsi="Arial"/>
                <w:b w:val="0"/>
                <w:i w:val="0"/>
                <w:color w:val="000000"/>
                <w:sz w:val="18"/>
              </w:rPr>
              <w:t>Project</w:t>
            </w:r>
          </w:p>
        </w:tc>
        <w:tc>
          <w:tcPr>
            <w:tcW w:type="dxa" w:w="7510"/>
            <w:vAlign w:val="center"/>
            <w:tcMar>
              <w:top w:w="80" w:type="dxa"/>
              <w:start w:w="120" w:type="dxa"/>
              <w:bottom w:w="80" w:type="dxa"/>
              <w:end w:w="120" w:type="dxa"/>
            </w:tcMar>
          </w:tcPr>
          <w:p>
            <w:pPr>
              <w:spacing w:after="20" w:line="252" w:lineRule="auto"/>
            </w:pPr>
            <w:r/>
            <w:r>
              <w:rPr>
                <w:rFonts w:ascii="Arial" w:hAnsi="Arial"/>
                <w:b w:val="0"/>
                <w:i w:val="0"/>
                <w:color w:val="000000"/>
                <w:sz w:val="18"/>
              </w:rPr>
              <w:t>Development of AI-Based Cyber Security Audit Assessment Against Benchmark</w:t>
            </w:r>
          </w:p>
        </w:tc>
      </w:tr>
      <w:tr>
        <w:tc>
          <w:tcPr>
            <w:tcW w:type="dxa" w:w="1850"/>
            <w:vAlign w:val="center"/>
            <w:tcMar>
              <w:top w:w="80" w:type="dxa"/>
              <w:start w:w="120" w:type="dxa"/>
              <w:bottom w:w="80" w:type="dxa"/>
              <w:end w:w="120" w:type="dxa"/>
            </w:tcMar>
          </w:tcPr>
          <w:p>
            <w:pPr>
              <w:spacing w:after="20" w:line="252" w:lineRule="auto"/>
            </w:pPr>
            <w:r/>
            <w:r>
              <w:rPr>
                <w:rFonts w:ascii="Arial" w:hAnsi="Arial"/>
                <w:b w:val="0"/>
                <w:i w:val="0"/>
                <w:color w:val="000000"/>
                <w:sz w:val="18"/>
              </w:rPr>
              <w:t>Scope</w:t>
            </w:r>
          </w:p>
        </w:tc>
        <w:tc>
          <w:tcPr>
            <w:tcW w:type="dxa" w:w="7510"/>
            <w:vAlign w:val="center"/>
            <w:tcMar>
              <w:top w:w="80" w:type="dxa"/>
              <w:start w:w="120" w:type="dxa"/>
              <w:bottom w:w="80" w:type="dxa"/>
              <w:end w:w="120" w:type="dxa"/>
            </w:tcMar>
          </w:tcPr>
          <w:p>
            <w:pPr>
              <w:spacing w:after="20" w:line="252" w:lineRule="auto"/>
            </w:pPr>
            <w:r/>
            <w:r>
              <w:rPr>
                <w:rFonts w:ascii="Arial" w:hAnsi="Arial"/>
                <w:b w:val="0"/>
                <w:i w:val="0"/>
                <w:color w:val="000000"/>
                <w:sz w:val="18"/>
              </w:rPr>
              <w:t>Objective 3; secure local/air-gapped RAG proof of concept</w:t>
            </w:r>
          </w:p>
        </w:tc>
      </w:tr>
      <w:tr>
        <w:tc>
          <w:tcPr>
            <w:tcW w:type="dxa" w:w="1850"/>
            <w:vAlign w:val="center"/>
            <w:tcMar>
              <w:top w:w="80" w:type="dxa"/>
              <w:start w:w="120" w:type="dxa"/>
              <w:bottom w:w="80" w:type="dxa"/>
              <w:end w:w="120" w:type="dxa"/>
            </w:tcMar>
          </w:tcPr>
          <w:p>
            <w:pPr>
              <w:spacing w:after="20" w:line="252" w:lineRule="auto"/>
            </w:pPr>
            <w:r/>
            <w:r>
              <w:rPr>
                <w:rFonts w:ascii="Arial" w:hAnsi="Arial"/>
                <w:b w:val="0"/>
                <w:i w:val="0"/>
                <w:color w:val="000000"/>
                <w:sz w:val="18"/>
              </w:rPr>
              <w:t>Report date</w:t>
            </w:r>
          </w:p>
        </w:tc>
        <w:tc>
          <w:tcPr>
            <w:tcW w:type="dxa" w:w="7510"/>
            <w:vAlign w:val="center"/>
            <w:tcMar>
              <w:top w:w="80" w:type="dxa"/>
              <w:start w:w="120" w:type="dxa"/>
              <w:bottom w:w="80" w:type="dxa"/>
              <w:end w:w="120" w:type="dxa"/>
            </w:tcMar>
          </w:tcPr>
          <w:p>
            <w:pPr>
              <w:spacing w:after="20" w:line="252" w:lineRule="auto"/>
            </w:pPr>
            <w:r/>
            <w:r>
              <w:rPr>
                <w:rFonts w:ascii="Arial" w:hAnsi="Arial"/>
                <w:b w:val="0"/>
                <w:i w:val="0"/>
                <w:color w:val="000000"/>
                <w:sz w:val="18"/>
              </w:rPr>
              <w:t>28 August 2026</w:t>
            </w:r>
          </w:p>
        </w:tc>
      </w:tr>
      <w:tr>
        <w:tc>
          <w:tcPr>
            <w:tcW w:type="dxa" w:w="1850"/>
            <w:vAlign w:val="center"/>
            <w:tcMar>
              <w:top w:w="80" w:type="dxa"/>
              <w:start w:w="120" w:type="dxa"/>
              <w:bottom w:w="80" w:type="dxa"/>
              <w:end w:w="120" w:type="dxa"/>
            </w:tcMar>
          </w:tcPr>
          <w:p>
            <w:pPr>
              <w:spacing w:after="20" w:line="252" w:lineRule="auto"/>
            </w:pPr>
            <w:r/>
            <w:r>
              <w:rPr>
                <w:rFonts w:ascii="Arial" w:hAnsi="Arial"/>
                <w:b w:val="0"/>
                <w:i w:val="0"/>
                <w:color w:val="000000"/>
                <w:sz w:val="18"/>
              </w:rPr>
              <w:t>Evidence rule</w:t>
            </w:r>
          </w:p>
        </w:tc>
        <w:tc>
          <w:tcPr>
            <w:tcW w:type="dxa" w:w="7510"/>
            <w:vAlign w:val="center"/>
            <w:tcMar>
              <w:top w:w="80" w:type="dxa"/>
              <w:start w:w="120" w:type="dxa"/>
              <w:bottom w:w="80" w:type="dxa"/>
              <w:end w:w="120" w:type="dxa"/>
            </w:tcMar>
          </w:tcPr>
          <w:p>
            <w:pPr>
              <w:spacing w:after="20" w:line="252" w:lineRule="auto"/>
            </w:pPr>
            <w:r/>
            <w:r>
              <w:rPr>
                <w:rFonts w:ascii="Arial" w:hAnsi="Arial"/>
                <w:b w:val="0"/>
                <w:i w:val="0"/>
                <w:color w:val="000000"/>
                <w:sz w:val="18"/>
              </w:rPr>
              <w:t>Implemented, tested and untested claims are labelled separately.</w:t>
            </w:r>
          </w:p>
        </w:tc>
      </w:tr>
    </w:tbl>
    <w:p>
      <w:pPr>
        <w:spacing w:after="20"/>
      </w:pPr>
    </w:p>
    <w:p>
      <w:pPr>
        <w:pStyle w:val="Heading1"/>
      </w:pPr>
      <w:r>
        <w:t>What was reviewed and why</w:t>
      </w:r>
    </w:p>
    <w:p>
      <w:pPr>
        <w:spacing w:after="120" w:line="276" w:lineRule="auto"/>
      </w:pPr>
      <w:r>
        <w:rPr>
          <w:rFonts w:ascii="Arial" w:hAnsi="Arial"/>
          <w:b w:val="0"/>
          <w:i w:val="0"/>
          <w:color w:val="000000"/>
          <w:sz w:val="21"/>
        </w:rPr>
        <w:t>This deliverable is a technology review, not an experiment report. It asks which RAG capabilities matter for evidence-bound cybersecurity assessment: provenance-preserving parsing, hybrid retrieval, controlled generation, and measurable evaluation. The review separates published approaches from repository implementation and from completed measurements so a reader can see both ambition and evidence. [E8][S1][S2]</w:t>
      </w:r>
    </w:p>
    <w:p>
      <w:pPr>
        <w:spacing w:after="120" w:line="276" w:lineRule="auto"/>
      </w:pPr>
      <w:r>
        <w:rPr>
          <w:rFonts w:ascii="Arial" w:hAnsi="Arial"/>
          <w:b w:val="0"/>
          <w:i w:val="0"/>
          <w:color w:val="000000"/>
          <w:sz w:val="21"/>
        </w:rPr>
        <w:t>The recommended architecture is a practical layered design rather than a claim that every new RAG component should be switched on. Text/JSON evidence comes first; visual retrieval is justified only for page-only evidence; graph retrieval is justified only for relationship or cross-report questions. This avoids expensive components where a local factual lookup is sufficient. [S2][S3][S6]</w:t>
      </w:r>
    </w:p>
    <w:p>
      <w:pPr>
        <w:pStyle w:val="Heading1"/>
      </w:pPr>
      <w:r>
        <w:t>Evidence maturity of reviewed technologies</w:t>
      </w:r>
    </w:p>
    <w:tbl>
      <w:tblPr>
        <w:tblStyle w:val="TableGrid"/>
        <w:tblW w:type="dxa" w:w="9360"/>
        <w:tblLayout w:type="fixed"/>
        <w:tblLook w:firstColumn="1" w:firstRow="1" w:lastColumn="0" w:lastRow="0" w:noHBand="0" w:noVBand="1" w:val="04A0"/>
        <w:tblInd w:w="120" w:type="dxa"/>
      </w:tblPr>
      <w:tblGrid>
        <w:gridCol w:w="2600"/>
        <w:gridCol w:w="3500"/>
        <w:gridCol w:w="3260"/>
      </w:tblGrid>
      <w:tr>
        <w:tc>
          <w:tcPr>
            <w:tcW w:type="dxa" w:w="2600"/>
            <w:vAlign w:val="center"/>
            <w:tcMar>
              <w:top w:w="80" w:type="dxa"/>
              <w:start w:w="120" w:type="dxa"/>
              <w:bottom w:w="80" w:type="dxa"/>
              <w:end w:w="120" w:type="dxa"/>
            </w:tcMar>
          </w:tcPr>
          <w:p>
            <w:pPr>
              <w:spacing w:after="20"/>
            </w:pPr>
            <w:r/>
            <w:r>
              <w:rPr>
                <w:rFonts w:ascii="Arial" w:hAnsi="Arial"/>
                <w:b/>
                <w:i w:val="0"/>
                <w:color w:val="000000"/>
                <w:sz w:val="18"/>
              </w:rPr>
              <w:t>Technology</w:t>
            </w:r>
          </w:p>
        </w:tc>
        <w:tc>
          <w:tcPr>
            <w:tcW w:type="dxa" w:w="3500"/>
            <w:vAlign w:val="center"/>
            <w:tcMar>
              <w:top w:w="80" w:type="dxa"/>
              <w:start w:w="120" w:type="dxa"/>
              <w:bottom w:w="80" w:type="dxa"/>
              <w:end w:w="120" w:type="dxa"/>
            </w:tcMar>
          </w:tcPr>
          <w:p>
            <w:pPr>
              <w:spacing w:after="20"/>
            </w:pPr>
            <w:r/>
            <w:r>
              <w:rPr>
                <w:rFonts w:ascii="Arial" w:hAnsi="Arial"/>
                <w:b/>
                <w:i w:val="0"/>
                <w:color w:val="000000"/>
                <w:sz w:val="18"/>
              </w:rPr>
              <w:t>Published rationale</w:t>
            </w:r>
          </w:p>
        </w:tc>
        <w:tc>
          <w:tcPr>
            <w:tcW w:type="dxa" w:w="3260"/>
            <w:vAlign w:val="center"/>
            <w:tcMar>
              <w:top w:w="80" w:type="dxa"/>
              <w:start w:w="120" w:type="dxa"/>
              <w:bottom w:w="80" w:type="dxa"/>
              <w:end w:w="120" w:type="dxa"/>
            </w:tcMar>
          </w:tcPr>
          <w:p>
            <w:pPr>
              <w:spacing w:after="20"/>
            </w:pPr>
            <w:r/>
            <w:r>
              <w:rPr>
                <w:rFonts w:ascii="Arial" w:hAnsi="Arial"/>
                <w:b/>
                <w:i w:val="0"/>
                <w:color w:val="000000"/>
                <w:sz w:val="18"/>
              </w:rPr>
              <w:t>Project status</w:t>
            </w:r>
          </w:p>
        </w:tc>
      </w:tr>
      <w:tr>
        <w:tc>
          <w:tcPr>
            <w:tcW w:type="dxa" w:w="2600"/>
            <w:vAlign w:val="center"/>
            <w:tcMar>
              <w:top w:w="80" w:type="dxa"/>
              <w:start w:w="120" w:type="dxa"/>
              <w:bottom w:w="80" w:type="dxa"/>
              <w:end w:w="120" w:type="dxa"/>
            </w:tcMar>
          </w:tcPr>
          <w:p>
            <w:pPr>
              <w:spacing w:after="20" w:line="252" w:lineRule="auto"/>
            </w:pPr>
            <w:r/>
            <w:r>
              <w:rPr>
                <w:rFonts w:ascii="Arial" w:hAnsi="Arial"/>
                <w:b w:val="0"/>
                <w:i w:val="0"/>
                <w:color w:val="000000"/>
                <w:sz w:val="18"/>
              </w:rPr>
              <w:t>Hybrid dense + BM25 retrieval</w:t>
            </w:r>
          </w:p>
        </w:tc>
        <w:tc>
          <w:tcPr>
            <w:tcW w:type="dxa" w:w="3500"/>
            <w:vAlign w:val="center"/>
            <w:tcMar>
              <w:top w:w="80" w:type="dxa"/>
              <w:start w:w="120" w:type="dxa"/>
              <w:bottom w:w="80" w:type="dxa"/>
              <w:end w:w="120" w:type="dxa"/>
            </w:tcMar>
          </w:tcPr>
          <w:p>
            <w:pPr>
              <w:spacing w:after="20" w:line="252" w:lineRule="auto"/>
            </w:pPr>
            <w:r/>
            <w:r>
              <w:rPr>
                <w:rFonts w:ascii="Arial" w:hAnsi="Arial"/>
                <w:b w:val="0"/>
                <w:i w:val="0"/>
                <w:color w:val="000000"/>
                <w:sz w:val="18"/>
              </w:rPr>
              <w:t>Semantic and exact-term retrieval complement each other</w:t>
            </w:r>
          </w:p>
        </w:tc>
        <w:tc>
          <w:tcPr>
            <w:tcW w:type="dxa" w:w="3260"/>
            <w:vAlign w:val="center"/>
            <w:tcMar>
              <w:top w:w="80" w:type="dxa"/>
              <w:start w:w="120" w:type="dxa"/>
              <w:bottom w:w="80" w:type="dxa"/>
              <w:end w:w="120" w:type="dxa"/>
            </w:tcMar>
          </w:tcPr>
          <w:p>
            <w:pPr>
              <w:spacing w:after="20" w:line="252" w:lineRule="auto"/>
            </w:pPr>
            <w:r/>
            <w:r>
              <w:rPr>
                <w:rFonts w:ascii="Arial" w:hAnsi="Arial"/>
                <w:b w:val="0"/>
                <w:i w:val="0"/>
                <w:color w:val="000000"/>
                <w:sz w:val="18"/>
              </w:rPr>
              <w:t>Implemented and ablated [E10]</w:t>
            </w:r>
          </w:p>
        </w:tc>
      </w:tr>
      <w:tr>
        <w:tc>
          <w:tcPr>
            <w:tcW w:type="dxa" w:w="2600"/>
            <w:vAlign w:val="center"/>
            <w:tcMar>
              <w:top w:w="80" w:type="dxa"/>
              <w:start w:w="120" w:type="dxa"/>
              <w:bottom w:w="80" w:type="dxa"/>
              <w:end w:w="120" w:type="dxa"/>
            </w:tcMar>
          </w:tcPr>
          <w:p>
            <w:pPr>
              <w:spacing w:after="20" w:line="252" w:lineRule="auto"/>
            </w:pPr>
            <w:r/>
            <w:r>
              <w:rPr>
                <w:rFonts w:ascii="Arial" w:hAnsi="Arial"/>
                <w:b w:val="0"/>
                <w:i w:val="0"/>
                <w:color w:val="000000"/>
                <w:sz w:val="18"/>
              </w:rPr>
              <w:t>Modern Qwen embedding</w:t>
            </w:r>
          </w:p>
        </w:tc>
        <w:tc>
          <w:tcPr>
            <w:tcW w:type="dxa" w:w="3500"/>
            <w:vAlign w:val="center"/>
            <w:tcMar>
              <w:top w:w="80" w:type="dxa"/>
              <w:start w:w="120" w:type="dxa"/>
              <w:bottom w:w="80" w:type="dxa"/>
              <w:end w:w="120" w:type="dxa"/>
            </w:tcMar>
          </w:tcPr>
          <w:p>
            <w:pPr>
              <w:spacing w:after="20" w:line="252" w:lineRule="auto"/>
            </w:pPr>
            <w:r/>
            <w:r>
              <w:rPr>
                <w:rFonts w:ascii="Arial" w:hAnsi="Arial"/>
                <w:b w:val="0"/>
                <w:i w:val="0"/>
                <w:color w:val="000000"/>
                <w:sz w:val="18"/>
              </w:rPr>
              <w:t>Local multilingual retrieval candidate</w:t>
            </w:r>
          </w:p>
        </w:tc>
        <w:tc>
          <w:tcPr>
            <w:tcW w:type="dxa" w:w="3260"/>
            <w:vAlign w:val="center"/>
            <w:tcMar>
              <w:top w:w="80" w:type="dxa"/>
              <w:start w:w="120" w:type="dxa"/>
              <w:bottom w:w="80" w:type="dxa"/>
              <w:end w:w="120" w:type="dxa"/>
            </w:tcMar>
          </w:tcPr>
          <w:p>
            <w:pPr>
              <w:spacing w:after="20" w:line="252" w:lineRule="auto"/>
            </w:pPr>
            <w:r/>
            <w:r>
              <w:rPr>
                <w:rFonts w:ascii="Arial" w:hAnsi="Arial"/>
                <w:b w:val="0"/>
                <w:i w:val="0"/>
                <w:color w:val="000000"/>
                <w:sz w:val="18"/>
              </w:rPr>
              <w:t>Used in completed runs [E4][E10]</w:t>
            </w:r>
          </w:p>
        </w:tc>
      </w:tr>
      <w:tr>
        <w:tc>
          <w:tcPr>
            <w:tcW w:type="dxa" w:w="2600"/>
            <w:vAlign w:val="center"/>
            <w:tcMar>
              <w:top w:w="80" w:type="dxa"/>
              <w:start w:w="120" w:type="dxa"/>
              <w:bottom w:w="80" w:type="dxa"/>
              <w:end w:w="120" w:type="dxa"/>
            </w:tcMar>
          </w:tcPr>
          <w:p>
            <w:pPr>
              <w:spacing w:after="20" w:line="252" w:lineRule="auto"/>
            </w:pPr>
            <w:r/>
            <w:r>
              <w:rPr>
                <w:rFonts w:ascii="Arial" w:hAnsi="Arial"/>
                <w:b w:val="0"/>
                <w:i w:val="0"/>
                <w:color w:val="000000"/>
                <w:sz w:val="18"/>
              </w:rPr>
              <w:t>Cross-encoder reranking</w:t>
            </w:r>
          </w:p>
        </w:tc>
        <w:tc>
          <w:tcPr>
            <w:tcW w:type="dxa" w:w="3500"/>
            <w:vAlign w:val="center"/>
            <w:tcMar>
              <w:top w:w="80" w:type="dxa"/>
              <w:start w:w="120" w:type="dxa"/>
              <w:bottom w:w="80" w:type="dxa"/>
              <w:end w:w="120" w:type="dxa"/>
            </w:tcMar>
          </w:tcPr>
          <w:p>
            <w:pPr>
              <w:spacing w:after="20" w:line="252" w:lineRule="auto"/>
            </w:pPr>
            <w:r/>
            <w:r>
              <w:rPr>
                <w:rFonts w:ascii="Arial" w:hAnsi="Arial"/>
                <w:b w:val="0"/>
                <w:i w:val="0"/>
                <w:color w:val="000000"/>
                <w:sz w:val="18"/>
              </w:rPr>
              <w:t>Improves final relevance ordering</w:t>
            </w:r>
          </w:p>
        </w:tc>
        <w:tc>
          <w:tcPr>
            <w:tcW w:type="dxa" w:w="3260"/>
            <w:vAlign w:val="center"/>
            <w:tcMar>
              <w:top w:w="80" w:type="dxa"/>
              <w:start w:w="120" w:type="dxa"/>
              <w:bottom w:w="80" w:type="dxa"/>
              <w:end w:w="120" w:type="dxa"/>
            </w:tcMar>
          </w:tcPr>
          <w:p>
            <w:pPr>
              <w:spacing w:after="20" w:line="252" w:lineRule="auto"/>
            </w:pPr>
            <w:r/>
            <w:r>
              <w:rPr>
                <w:rFonts w:ascii="Arial" w:hAnsi="Arial"/>
                <w:b w:val="0"/>
                <w:i w:val="0"/>
                <w:color w:val="000000"/>
                <w:sz w:val="18"/>
              </w:rPr>
              <w:t>Implemented; not enabled in 6 GB production run [E8]</w:t>
            </w:r>
          </w:p>
        </w:tc>
      </w:tr>
      <w:tr>
        <w:tc>
          <w:tcPr>
            <w:tcW w:type="dxa" w:w="2600"/>
            <w:vAlign w:val="center"/>
            <w:tcMar>
              <w:top w:w="80" w:type="dxa"/>
              <w:start w:w="120" w:type="dxa"/>
              <w:bottom w:w="80" w:type="dxa"/>
              <w:end w:w="120" w:type="dxa"/>
            </w:tcMar>
          </w:tcPr>
          <w:p>
            <w:pPr>
              <w:spacing w:after="20" w:line="252" w:lineRule="auto"/>
            </w:pPr>
            <w:r/>
            <w:r>
              <w:rPr>
                <w:rFonts w:ascii="Arial" w:hAnsi="Arial"/>
                <w:b w:val="0"/>
                <w:i w:val="0"/>
                <w:color w:val="000000"/>
                <w:sz w:val="18"/>
              </w:rPr>
              <w:t>Late interaction / visual RAG</w:t>
            </w:r>
          </w:p>
        </w:tc>
        <w:tc>
          <w:tcPr>
            <w:tcW w:type="dxa" w:w="3500"/>
            <w:vAlign w:val="center"/>
            <w:tcMar>
              <w:top w:w="80" w:type="dxa"/>
              <w:start w:w="120" w:type="dxa"/>
              <w:bottom w:w="80" w:type="dxa"/>
              <w:end w:w="120" w:type="dxa"/>
            </w:tcMar>
          </w:tcPr>
          <w:p>
            <w:pPr>
              <w:spacing w:after="20" w:line="252" w:lineRule="auto"/>
            </w:pPr>
            <w:r/>
            <w:r>
              <w:rPr>
                <w:rFonts w:ascii="Arial" w:hAnsi="Arial"/>
                <w:b w:val="0"/>
                <w:i w:val="0"/>
                <w:color w:val="000000"/>
                <w:sz w:val="18"/>
              </w:rPr>
              <w:t>Useful for technical phrase or page-layout evidence</w:t>
            </w:r>
          </w:p>
        </w:tc>
        <w:tc>
          <w:tcPr>
            <w:tcW w:type="dxa" w:w="3260"/>
            <w:vAlign w:val="center"/>
            <w:tcMar>
              <w:top w:w="80" w:type="dxa"/>
              <w:start w:w="120" w:type="dxa"/>
              <w:bottom w:w="80" w:type="dxa"/>
              <w:end w:w="120" w:type="dxa"/>
            </w:tcMar>
          </w:tcPr>
          <w:p>
            <w:pPr>
              <w:spacing w:after="20" w:line="252" w:lineRule="auto"/>
            </w:pPr>
            <w:r/>
            <w:r>
              <w:rPr>
                <w:rFonts w:ascii="Arial" w:hAnsi="Arial"/>
                <w:b w:val="0"/>
                <w:i w:val="0"/>
                <w:color w:val="000000"/>
                <w:sz w:val="18"/>
              </w:rPr>
              <w:t>Integration path only; not a measured claim [E8][S2][S3]</w:t>
            </w:r>
          </w:p>
        </w:tc>
      </w:tr>
      <w:tr>
        <w:tc>
          <w:tcPr>
            <w:tcW w:type="dxa" w:w="2600"/>
            <w:vAlign w:val="center"/>
            <w:tcMar>
              <w:top w:w="80" w:type="dxa"/>
              <w:start w:w="120" w:type="dxa"/>
              <w:bottom w:w="80" w:type="dxa"/>
              <w:end w:w="120" w:type="dxa"/>
            </w:tcMar>
          </w:tcPr>
          <w:p>
            <w:pPr>
              <w:spacing w:after="20" w:line="252" w:lineRule="auto"/>
            </w:pPr>
            <w:r/>
            <w:r>
              <w:rPr>
                <w:rFonts w:ascii="Arial" w:hAnsi="Arial"/>
                <w:b w:val="0"/>
                <w:i w:val="0"/>
                <w:color w:val="000000"/>
                <w:sz w:val="18"/>
              </w:rPr>
              <w:t>Graph-assisted retrieval</w:t>
            </w:r>
          </w:p>
        </w:tc>
        <w:tc>
          <w:tcPr>
            <w:tcW w:type="dxa" w:w="3500"/>
            <w:vAlign w:val="center"/>
            <w:tcMar>
              <w:top w:w="80" w:type="dxa"/>
              <w:start w:w="120" w:type="dxa"/>
              <w:bottom w:w="80" w:type="dxa"/>
              <w:end w:w="120" w:type="dxa"/>
            </w:tcMar>
          </w:tcPr>
          <w:p>
            <w:pPr>
              <w:spacing w:after="20" w:line="252" w:lineRule="auto"/>
            </w:pPr>
            <w:r/>
            <w:r>
              <w:rPr>
                <w:rFonts w:ascii="Arial" w:hAnsi="Arial"/>
                <w:b w:val="0"/>
                <w:i w:val="0"/>
                <w:color w:val="000000"/>
                <w:sz w:val="18"/>
              </w:rPr>
              <w:t>Useful for entity and cross-report relations</w:t>
            </w:r>
          </w:p>
        </w:tc>
        <w:tc>
          <w:tcPr>
            <w:tcW w:type="dxa" w:w="3260"/>
            <w:vAlign w:val="center"/>
            <w:tcMar>
              <w:top w:w="80" w:type="dxa"/>
              <w:start w:w="120" w:type="dxa"/>
              <w:bottom w:w="80" w:type="dxa"/>
              <w:end w:w="120" w:type="dxa"/>
            </w:tcMar>
          </w:tcPr>
          <w:p>
            <w:pPr>
              <w:spacing w:after="20" w:line="252" w:lineRule="auto"/>
            </w:pPr>
            <w:r/>
            <w:r>
              <w:rPr>
                <w:rFonts w:ascii="Arial" w:hAnsi="Arial"/>
                <w:b w:val="0"/>
                <w:i w:val="0"/>
                <w:color w:val="000000"/>
                <w:sz w:val="18"/>
              </w:rPr>
              <w:t>Optional route; no isolated effectiveness claim [E4][S6]</w:t>
            </w:r>
          </w:p>
        </w:tc>
      </w:tr>
    </w:tbl>
    <w:p>
      <w:pPr>
        <w:spacing w:after="20"/>
      </w:pPr>
    </w:p>
    <w:p>
      <w:pPr>
        <w:pStyle w:val="Heading1"/>
      </w:pPr>
      <w:r>
        <w:t>Scope and conclusion</w:t>
      </w:r>
    </w:p>
    <w:p>
      <w:pPr>
        <w:spacing w:after="120" w:line="276" w:lineRule="auto"/>
      </w:pPr>
      <w:r>
        <w:rPr>
          <w:rFonts w:ascii="Arial" w:hAnsi="Arial"/>
          <w:b w:val="0"/>
          <w:i w:val="0"/>
          <w:color w:val="000000"/>
          <w:sz w:val="21"/>
        </w:rPr>
        <w:t>This review distinguishes published architecture options from work that was actually implemented and tested in this repository. The implemented baseline is a text-first hybrid RAG pipeline; it is not presented as a proven state-of-the-art system. [E8]</w:t>
      </w:r>
    </w:p>
    <w:p>
      <w:pPr>
        <w:spacing w:after="120" w:line="276" w:lineRule="auto"/>
      </w:pPr>
      <w:r>
        <w:rPr>
          <w:rFonts w:ascii="Arial" w:hAnsi="Arial"/>
          <w:b w:val="0"/>
          <w:i w:val="0"/>
          <w:color w:val="000000"/>
          <w:sz w:val="21"/>
        </w:rPr>
        <w:t>The practical recommendation is structured hybrid retrieval as the default. Visual retrieval should be enabled only when page images, tables or screenshots are in the accepted input scope; graph retrieval should be reserved for cross-report relationship questions. [S2][S3][S6]</w:t>
      </w:r>
    </w:p>
    <w:p>
      <w:pPr>
        <w:pStyle w:val="Heading1"/>
      </w:pPr>
      <w:r>
        <w:t>Technology comparison</w:t>
      </w:r>
    </w:p>
    <w:tbl>
      <w:tblPr>
        <w:tblStyle w:val="TableGrid"/>
        <w:tblW w:type="dxa" w:w="9360"/>
        <w:tblLayout w:type="fixed"/>
        <w:tblLook w:firstColumn="1" w:firstRow="1" w:lastColumn="0" w:lastRow="0" w:noHBand="0" w:noVBand="1" w:val="04A0"/>
        <w:tblInd w:w="120" w:type="dxa"/>
      </w:tblPr>
      <w:tblGrid>
        <w:gridCol w:w="1800"/>
        <w:gridCol w:w="2700"/>
        <w:gridCol w:w="2880"/>
        <w:gridCol w:w="1980"/>
      </w:tblGrid>
      <w:tr>
        <w:tc>
          <w:tcPr>
            <w:tcW w:type="dxa" w:w="1800"/>
            <w:vAlign w:val="center"/>
            <w:tcMar>
              <w:top w:w="80" w:type="dxa"/>
              <w:start w:w="120" w:type="dxa"/>
              <w:bottom w:w="80" w:type="dxa"/>
              <w:end w:w="120" w:type="dxa"/>
            </w:tcMar>
          </w:tcPr>
          <w:p>
            <w:pPr>
              <w:spacing w:after="20"/>
            </w:pPr>
            <w:r/>
            <w:r>
              <w:rPr>
                <w:rFonts w:ascii="Arial" w:hAnsi="Arial"/>
                <w:b/>
                <w:i w:val="0"/>
                <w:color w:val="000000"/>
                <w:sz w:val="18"/>
              </w:rPr>
              <w:t>Family</w:t>
            </w:r>
          </w:p>
        </w:tc>
        <w:tc>
          <w:tcPr>
            <w:tcW w:type="dxa" w:w="2700"/>
            <w:vAlign w:val="center"/>
            <w:tcMar>
              <w:top w:w="80" w:type="dxa"/>
              <w:start w:w="120" w:type="dxa"/>
              <w:bottom w:w="80" w:type="dxa"/>
              <w:end w:w="120" w:type="dxa"/>
            </w:tcMar>
          </w:tcPr>
          <w:p>
            <w:pPr>
              <w:spacing w:after="20"/>
            </w:pPr>
            <w:r/>
            <w:r>
              <w:rPr>
                <w:rFonts w:ascii="Arial" w:hAnsi="Arial"/>
                <w:b/>
                <w:i w:val="0"/>
                <w:color w:val="000000"/>
                <w:sz w:val="18"/>
              </w:rPr>
              <w:t>Contribution</w:t>
            </w:r>
          </w:p>
        </w:tc>
        <w:tc>
          <w:tcPr>
            <w:tcW w:type="dxa" w:w="2880"/>
            <w:vAlign w:val="center"/>
            <w:tcMar>
              <w:top w:w="80" w:type="dxa"/>
              <w:start w:w="120" w:type="dxa"/>
              <w:bottom w:w="80" w:type="dxa"/>
              <w:end w:w="120" w:type="dxa"/>
            </w:tcMar>
          </w:tcPr>
          <w:p>
            <w:pPr>
              <w:spacing w:after="20"/>
            </w:pPr>
            <w:r/>
            <w:r>
              <w:rPr>
                <w:rFonts w:ascii="Arial" w:hAnsi="Arial"/>
                <w:b/>
                <w:i w:val="0"/>
                <w:color w:val="000000"/>
                <w:sz w:val="18"/>
              </w:rPr>
              <w:t>Project use</w:t>
            </w:r>
          </w:p>
        </w:tc>
        <w:tc>
          <w:tcPr>
            <w:tcW w:type="dxa" w:w="1980"/>
            <w:vAlign w:val="center"/>
            <w:tcMar>
              <w:top w:w="80" w:type="dxa"/>
              <w:start w:w="120" w:type="dxa"/>
              <w:bottom w:w="80" w:type="dxa"/>
              <w:end w:w="120" w:type="dxa"/>
            </w:tcMar>
          </w:tcPr>
          <w:p>
            <w:pPr>
              <w:spacing w:after="20"/>
            </w:pPr>
            <w:r/>
            <w:r>
              <w:rPr>
                <w:rFonts w:ascii="Arial" w:hAnsi="Arial"/>
                <w:b/>
                <w:i w:val="0"/>
                <w:color w:val="000000"/>
                <w:sz w:val="18"/>
              </w:rPr>
              <w:t>Evidence status</w:t>
            </w:r>
          </w:p>
        </w:tc>
      </w:tr>
      <w:tr>
        <w:tc>
          <w:tcPr>
            <w:tcW w:type="dxa" w:w="1800"/>
            <w:vAlign w:val="center"/>
            <w:tcMar>
              <w:top w:w="80" w:type="dxa"/>
              <w:start w:w="120" w:type="dxa"/>
              <w:bottom w:w="80" w:type="dxa"/>
              <w:end w:w="120" w:type="dxa"/>
            </w:tcMar>
          </w:tcPr>
          <w:p>
            <w:pPr>
              <w:spacing w:after="20" w:line="252" w:lineRule="auto"/>
            </w:pPr>
            <w:r/>
            <w:r>
              <w:rPr>
                <w:rFonts w:ascii="Arial" w:hAnsi="Arial"/>
                <w:b w:val="0"/>
                <w:i w:val="0"/>
                <w:color w:val="000000"/>
                <w:sz w:val="18"/>
              </w:rPr>
              <w:t>Dense plus sparse hybrid</w:t>
            </w:r>
          </w:p>
        </w:tc>
        <w:tc>
          <w:tcPr>
            <w:tcW w:type="dxa" w:w="2700"/>
            <w:vAlign w:val="center"/>
            <w:tcMar>
              <w:top w:w="80" w:type="dxa"/>
              <w:start w:w="120" w:type="dxa"/>
              <w:bottom w:w="80" w:type="dxa"/>
              <w:end w:w="120" w:type="dxa"/>
            </w:tcMar>
          </w:tcPr>
          <w:p>
            <w:pPr>
              <w:spacing w:after="20" w:line="252" w:lineRule="auto"/>
            </w:pPr>
            <w:r/>
            <w:r>
              <w:rPr>
                <w:rFonts w:ascii="Arial" w:hAnsi="Arial"/>
                <w:b w:val="0"/>
                <w:i w:val="0"/>
                <w:color w:val="000000"/>
                <w:sz w:val="18"/>
              </w:rPr>
              <w:t>Semantic retrieval plus exact technical terms</w:t>
            </w:r>
          </w:p>
        </w:tc>
        <w:tc>
          <w:tcPr>
            <w:tcW w:type="dxa" w:w="2880"/>
            <w:vAlign w:val="center"/>
            <w:tcMar>
              <w:top w:w="80" w:type="dxa"/>
              <w:start w:w="120" w:type="dxa"/>
              <w:bottom w:w="80" w:type="dxa"/>
              <w:end w:w="120" w:type="dxa"/>
            </w:tcMar>
          </w:tcPr>
          <w:p>
            <w:pPr>
              <w:spacing w:after="20" w:line="252" w:lineRule="auto"/>
            </w:pPr>
            <w:r/>
            <w:r>
              <w:rPr>
                <w:rFonts w:ascii="Arial" w:hAnsi="Arial"/>
                <w:b w:val="0"/>
                <w:i w:val="0"/>
                <w:color w:val="000000"/>
                <w:sz w:val="18"/>
              </w:rPr>
              <w:t>Baseline B0: embeddings, BM25 and rank fusion</w:t>
            </w:r>
          </w:p>
        </w:tc>
        <w:tc>
          <w:tcPr>
            <w:tcW w:type="dxa" w:w="1980"/>
            <w:vAlign w:val="center"/>
            <w:tcMar>
              <w:top w:w="80" w:type="dxa"/>
              <w:start w:w="120" w:type="dxa"/>
              <w:bottom w:w="80" w:type="dxa"/>
              <w:end w:w="120" w:type="dxa"/>
            </w:tcMar>
          </w:tcPr>
          <w:p>
            <w:pPr>
              <w:spacing w:after="20" w:line="252" w:lineRule="auto"/>
            </w:pPr>
            <w:r/>
            <w:r>
              <w:rPr>
                <w:rFonts w:ascii="Arial" w:hAnsi="Arial"/>
                <w:b w:val="0"/>
                <w:i w:val="0"/>
                <w:color w:val="000000"/>
                <w:sz w:val="18"/>
              </w:rPr>
              <w:t>Implemented; saved runs exist [E1][E4]</w:t>
            </w:r>
          </w:p>
        </w:tc>
      </w:tr>
      <w:tr>
        <w:tc>
          <w:tcPr>
            <w:tcW w:type="dxa" w:w="1800"/>
            <w:vAlign w:val="center"/>
            <w:tcMar>
              <w:top w:w="80" w:type="dxa"/>
              <w:start w:w="120" w:type="dxa"/>
              <w:bottom w:w="80" w:type="dxa"/>
              <w:end w:w="120" w:type="dxa"/>
            </w:tcMar>
          </w:tcPr>
          <w:p>
            <w:pPr>
              <w:spacing w:after="20" w:line="252" w:lineRule="auto"/>
            </w:pPr>
            <w:r/>
            <w:r>
              <w:rPr>
                <w:rFonts w:ascii="Arial" w:hAnsi="Arial"/>
                <w:b w:val="0"/>
                <w:i w:val="0"/>
                <w:color w:val="000000"/>
                <w:sz w:val="18"/>
              </w:rPr>
              <w:t>Cross-encoder reranking</w:t>
            </w:r>
          </w:p>
        </w:tc>
        <w:tc>
          <w:tcPr>
            <w:tcW w:type="dxa" w:w="2700"/>
            <w:vAlign w:val="center"/>
            <w:tcMar>
              <w:top w:w="80" w:type="dxa"/>
              <w:start w:w="120" w:type="dxa"/>
              <w:bottom w:w="80" w:type="dxa"/>
              <w:end w:w="120" w:type="dxa"/>
            </w:tcMar>
          </w:tcPr>
          <w:p>
            <w:pPr>
              <w:spacing w:after="20" w:line="252" w:lineRule="auto"/>
            </w:pPr>
            <w:r/>
            <w:r>
              <w:rPr>
                <w:rFonts w:ascii="Arial" w:hAnsi="Arial"/>
                <w:b w:val="0"/>
                <w:i w:val="0"/>
                <w:color w:val="000000"/>
                <w:sz w:val="18"/>
              </w:rPr>
              <w:t>Second-stage relevance ordering</w:t>
            </w:r>
          </w:p>
        </w:tc>
        <w:tc>
          <w:tcPr>
            <w:tcW w:type="dxa" w:w="2880"/>
            <w:vAlign w:val="center"/>
            <w:tcMar>
              <w:top w:w="80" w:type="dxa"/>
              <w:start w:w="120" w:type="dxa"/>
              <w:bottom w:w="80" w:type="dxa"/>
              <w:end w:w="120" w:type="dxa"/>
            </w:tcMar>
          </w:tcPr>
          <w:p>
            <w:pPr>
              <w:spacing w:after="20" w:line="252" w:lineRule="auto"/>
            </w:pPr>
            <w:r/>
            <w:r>
              <w:rPr>
                <w:rFonts w:ascii="Arial" w:hAnsi="Arial"/>
                <w:b w:val="0"/>
                <w:i w:val="0"/>
                <w:color w:val="000000"/>
                <w:sz w:val="18"/>
              </w:rPr>
              <w:t>Implemented; disabled in the two-report GPU run</w:t>
            </w:r>
          </w:p>
        </w:tc>
        <w:tc>
          <w:tcPr>
            <w:tcW w:type="dxa" w:w="1980"/>
            <w:vAlign w:val="center"/>
            <w:tcMar>
              <w:top w:w="80" w:type="dxa"/>
              <w:start w:w="120" w:type="dxa"/>
              <w:bottom w:w="80" w:type="dxa"/>
              <w:end w:w="120" w:type="dxa"/>
            </w:tcMar>
          </w:tcPr>
          <w:p>
            <w:pPr>
              <w:spacing w:after="20" w:line="252" w:lineRule="auto"/>
            </w:pPr>
            <w:r/>
            <w:r>
              <w:rPr>
                <w:rFonts w:ascii="Arial" w:hAnsi="Arial"/>
                <w:b w:val="0"/>
                <w:i w:val="0"/>
                <w:color w:val="000000"/>
                <w:sz w:val="18"/>
              </w:rPr>
              <w:t>Code inspected; no two-report reranker result [E4][E8]</w:t>
            </w:r>
          </w:p>
        </w:tc>
      </w:tr>
      <w:tr>
        <w:tc>
          <w:tcPr>
            <w:tcW w:type="dxa" w:w="1800"/>
            <w:vAlign w:val="center"/>
            <w:tcMar>
              <w:top w:w="80" w:type="dxa"/>
              <w:start w:w="120" w:type="dxa"/>
              <w:bottom w:w="80" w:type="dxa"/>
              <w:end w:w="120" w:type="dxa"/>
            </w:tcMar>
          </w:tcPr>
          <w:p>
            <w:pPr>
              <w:spacing w:after="20" w:line="252" w:lineRule="auto"/>
            </w:pPr>
            <w:r/>
            <w:r>
              <w:rPr>
                <w:rFonts w:ascii="Arial" w:hAnsi="Arial"/>
                <w:b w:val="0"/>
                <w:i w:val="0"/>
                <w:color w:val="000000"/>
                <w:sz w:val="18"/>
              </w:rPr>
              <w:t>Qwen3 embedding/reranking</w:t>
            </w:r>
          </w:p>
        </w:tc>
        <w:tc>
          <w:tcPr>
            <w:tcW w:type="dxa" w:w="2700"/>
            <w:vAlign w:val="center"/>
            <w:tcMar>
              <w:top w:w="80" w:type="dxa"/>
              <w:start w:w="120" w:type="dxa"/>
              <w:bottom w:w="80" w:type="dxa"/>
              <w:end w:w="120" w:type="dxa"/>
            </w:tcMar>
          </w:tcPr>
          <w:p>
            <w:pPr>
              <w:spacing w:after="20" w:line="252" w:lineRule="auto"/>
            </w:pPr>
            <w:r/>
            <w:r>
              <w:rPr>
                <w:rFonts w:ascii="Arial" w:hAnsi="Arial"/>
                <w:b w:val="0"/>
                <w:i w:val="0"/>
                <w:color w:val="000000"/>
                <w:sz w:val="18"/>
              </w:rPr>
              <w:t>Modern local retrieval candidates</w:t>
            </w:r>
          </w:p>
        </w:tc>
        <w:tc>
          <w:tcPr>
            <w:tcW w:type="dxa" w:w="2880"/>
            <w:vAlign w:val="center"/>
            <w:tcMar>
              <w:top w:w="80" w:type="dxa"/>
              <w:start w:w="120" w:type="dxa"/>
              <w:bottom w:w="80" w:type="dxa"/>
              <w:end w:w="120" w:type="dxa"/>
            </w:tcMar>
          </w:tcPr>
          <w:p>
            <w:pPr>
              <w:spacing w:after="20" w:line="252" w:lineRule="auto"/>
            </w:pPr>
            <w:r/>
            <w:r>
              <w:rPr>
                <w:rFonts w:ascii="Arial" w:hAnsi="Arial"/>
                <w:b w:val="0"/>
                <w:i w:val="0"/>
                <w:color w:val="000000"/>
                <w:sz w:val="18"/>
              </w:rPr>
              <w:t>Downloaded low-resource models</w:t>
            </w:r>
          </w:p>
        </w:tc>
        <w:tc>
          <w:tcPr>
            <w:tcW w:type="dxa" w:w="1980"/>
            <w:vAlign w:val="center"/>
            <w:tcMar>
              <w:top w:w="80" w:type="dxa"/>
              <w:start w:w="120" w:type="dxa"/>
              <w:bottom w:w="80" w:type="dxa"/>
              <w:end w:w="120" w:type="dxa"/>
            </w:tcMar>
          </w:tcPr>
          <w:p>
            <w:pPr>
              <w:spacing w:after="20" w:line="252" w:lineRule="auto"/>
            </w:pPr>
            <w:r/>
            <w:r>
              <w:rPr>
                <w:rFonts w:ascii="Arial" w:hAnsi="Arial"/>
                <w:b w:val="0"/>
                <w:i w:val="0"/>
                <w:color w:val="000000"/>
                <w:sz w:val="18"/>
              </w:rPr>
              <w:t>Retrieval comparison completed [E2]</w:t>
            </w:r>
          </w:p>
        </w:tc>
      </w:tr>
      <w:tr>
        <w:tc>
          <w:tcPr>
            <w:tcW w:type="dxa" w:w="1800"/>
            <w:vAlign w:val="center"/>
            <w:tcMar>
              <w:top w:w="80" w:type="dxa"/>
              <w:start w:w="120" w:type="dxa"/>
              <w:bottom w:w="80" w:type="dxa"/>
              <w:end w:w="120" w:type="dxa"/>
            </w:tcMar>
          </w:tcPr>
          <w:p>
            <w:pPr>
              <w:spacing w:after="20" w:line="252" w:lineRule="auto"/>
            </w:pPr>
            <w:r/>
            <w:r>
              <w:rPr>
                <w:rFonts w:ascii="Arial" w:hAnsi="Arial"/>
                <w:b w:val="0"/>
                <w:i w:val="0"/>
                <w:color w:val="000000"/>
                <w:sz w:val="18"/>
              </w:rPr>
              <w:t>Late interaction</w:t>
            </w:r>
          </w:p>
        </w:tc>
        <w:tc>
          <w:tcPr>
            <w:tcW w:type="dxa" w:w="2700"/>
            <w:vAlign w:val="center"/>
            <w:tcMar>
              <w:top w:w="80" w:type="dxa"/>
              <w:start w:w="120" w:type="dxa"/>
              <w:bottom w:w="80" w:type="dxa"/>
              <w:end w:w="120" w:type="dxa"/>
            </w:tcMar>
          </w:tcPr>
          <w:p>
            <w:pPr>
              <w:spacing w:after="20" w:line="252" w:lineRule="auto"/>
            </w:pPr>
            <w:r/>
            <w:r>
              <w:rPr>
                <w:rFonts w:ascii="Arial" w:hAnsi="Arial"/>
                <w:b w:val="0"/>
                <w:i w:val="0"/>
                <w:color w:val="000000"/>
                <w:sz w:val="18"/>
              </w:rPr>
              <w:t>Token-level technical-term matching</w:t>
            </w:r>
          </w:p>
        </w:tc>
        <w:tc>
          <w:tcPr>
            <w:tcW w:type="dxa" w:w="2880"/>
            <w:vAlign w:val="center"/>
            <w:tcMar>
              <w:top w:w="80" w:type="dxa"/>
              <w:start w:w="120" w:type="dxa"/>
              <w:bottom w:w="80" w:type="dxa"/>
              <w:end w:w="120" w:type="dxa"/>
            </w:tcMar>
          </w:tcPr>
          <w:p>
            <w:pPr>
              <w:spacing w:after="20" w:line="252" w:lineRule="auto"/>
            </w:pPr>
            <w:r/>
            <w:r>
              <w:rPr>
                <w:rFonts w:ascii="Arial" w:hAnsi="Arial"/>
                <w:b w:val="0"/>
                <w:i w:val="0"/>
                <w:color w:val="000000"/>
                <w:sz w:val="18"/>
              </w:rPr>
              <w:t>Candidate for identifiers/OCR noise</w:t>
            </w:r>
          </w:p>
        </w:tc>
        <w:tc>
          <w:tcPr>
            <w:tcW w:type="dxa" w:w="1980"/>
            <w:vAlign w:val="center"/>
            <w:tcMar>
              <w:top w:w="80" w:type="dxa"/>
              <w:start w:w="120" w:type="dxa"/>
              <w:bottom w:w="80" w:type="dxa"/>
              <w:end w:w="120" w:type="dxa"/>
            </w:tcMar>
          </w:tcPr>
          <w:p>
            <w:pPr>
              <w:spacing w:after="20" w:line="252" w:lineRule="auto"/>
            </w:pPr>
            <w:r/>
            <w:r>
              <w:rPr>
                <w:rFonts w:ascii="Arial" w:hAnsi="Arial"/>
                <w:b w:val="0"/>
                <w:i w:val="0"/>
                <w:color w:val="000000"/>
                <w:sz w:val="18"/>
              </w:rPr>
              <w:t>Implemented integration point; not evaluated [E8][S2]</w:t>
            </w:r>
          </w:p>
        </w:tc>
      </w:tr>
      <w:tr>
        <w:tc>
          <w:tcPr>
            <w:tcW w:type="dxa" w:w="1800"/>
            <w:vAlign w:val="center"/>
            <w:tcMar>
              <w:top w:w="80" w:type="dxa"/>
              <w:start w:w="120" w:type="dxa"/>
              <w:bottom w:w="80" w:type="dxa"/>
              <w:end w:w="120" w:type="dxa"/>
            </w:tcMar>
          </w:tcPr>
          <w:p>
            <w:pPr>
              <w:spacing w:after="20" w:line="252" w:lineRule="auto"/>
            </w:pPr>
            <w:r/>
            <w:r>
              <w:rPr>
                <w:rFonts w:ascii="Arial" w:hAnsi="Arial"/>
                <w:b w:val="0"/>
                <w:i w:val="0"/>
                <w:color w:val="000000"/>
                <w:sz w:val="18"/>
              </w:rPr>
              <w:t>Visual document retrieval</w:t>
            </w:r>
          </w:p>
        </w:tc>
        <w:tc>
          <w:tcPr>
            <w:tcW w:type="dxa" w:w="2700"/>
            <w:vAlign w:val="center"/>
            <w:tcMar>
              <w:top w:w="80" w:type="dxa"/>
              <w:start w:w="120" w:type="dxa"/>
              <w:bottom w:w="80" w:type="dxa"/>
              <w:end w:w="120" w:type="dxa"/>
            </w:tcMar>
          </w:tcPr>
          <w:p>
            <w:pPr>
              <w:spacing w:after="20" w:line="252" w:lineRule="auto"/>
            </w:pPr>
            <w:r/>
            <w:r>
              <w:rPr>
                <w:rFonts w:ascii="Arial" w:hAnsi="Arial"/>
                <w:b w:val="0"/>
                <w:i w:val="0"/>
                <w:color w:val="000000"/>
                <w:sz w:val="18"/>
              </w:rPr>
              <w:t>Page/table/screenshot retrieval</w:t>
            </w:r>
          </w:p>
        </w:tc>
        <w:tc>
          <w:tcPr>
            <w:tcW w:type="dxa" w:w="2880"/>
            <w:vAlign w:val="center"/>
            <w:tcMar>
              <w:top w:w="80" w:type="dxa"/>
              <w:start w:w="120" w:type="dxa"/>
              <w:bottom w:w="80" w:type="dxa"/>
              <w:end w:w="120" w:type="dxa"/>
            </w:tcMar>
          </w:tcPr>
          <w:p>
            <w:pPr>
              <w:spacing w:after="20" w:line="252" w:lineRule="auto"/>
            </w:pPr>
            <w:r/>
            <w:r>
              <w:rPr>
                <w:rFonts w:ascii="Arial" w:hAnsi="Arial"/>
                <w:b w:val="0"/>
                <w:i w:val="0"/>
                <w:color w:val="000000"/>
                <w:sz w:val="18"/>
              </w:rPr>
              <w:t>Out of current text-only assessment scope</w:t>
            </w:r>
          </w:p>
        </w:tc>
        <w:tc>
          <w:tcPr>
            <w:tcW w:type="dxa" w:w="1980"/>
            <w:vAlign w:val="center"/>
            <w:tcMar>
              <w:top w:w="80" w:type="dxa"/>
              <w:start w:w="120" w:type="dxa"/>
              <w:bottom w:w="80" w:type="dxa"/>
              <w:end w:w="120" w:type="dxa"/>
            </w:tcMar>
          </w:tcPr>
          <w:p>
            <w:pPr>
              <w:spacing w:after="20" w:line="252" w:lineRule="auto"/>
            </w:pPr>
            <w:r/>
            <w:r>
              <w:rPr>
                <w:rFonts w:ascii="Arial" w:hAnsi="Arial"/>
                <w:b w:val="0"/>
                <w:i w:val="0"/>
                <w:color w:val="000000"/>
                <w:sz w:val="18"/>
              </w:rPr>
              <w:t>CLI path only; not evaluated [E8][S3]</w:t>
            </w:r>
          </w:p>
        </w:tc>
      </w:tr>
      <w:tr>
        <w:tc>
          <w:tcPr>
            <w:tcW w:type="dxa" w:w="1800"/>
            <w:vAlign w:val="center"/>
            <w:tcMar>
              <w:top w:w="80" w:type="dxa"/>
              <w:start w:w="120" w:type="dxa"/>
              <w:bottom w:w="80" w:type="dxa"/>
              <w:end w:w="120" w:type="dxa"/>
            </w:tcMar>
          </w:tcPr>
          <w:p>
            <w:pPr>
              <w:spacing w:after="20" w:line="252" w:lineRule="auto"/>
            </w:pPr>
            <w:r/>
            <w:r>
              <w:rPr>
                <w:rFonts w:ascii="Arial" w:hAnsi="Arial"/>
                <w:b w:val="0"/>
                <w:i w:val="0"/>
                <w:color w:val="000000"/>
                <w:sz w:val="18"/>
              </w:rPr>
              <w:t>Graph-assisted retrieval</w:t>
            </w:r>
          </w:p>
        </w:tc>
        <w:tc>
          <w:tcPr>
            <w:tcW w:type="dxa" w:w="2700"/>
            <w:vAlign w:val="center"/>
            <w:tcMar>
              <w:top w:w="80" w:type="dxa"/>
              <w:start w:w="120" w:type="dxa"/>
              <w:bottom w:w="80" w:type="dxa"/>
              <w:end w:w="120" w:type="dxa"/>
            </w:tcMar>
          </w:tcPr>
          <w:p>
            <w:pPr>
              <w:spacing w:after="20" w:line="252" w:lineRule="auto"/>
            </w:pPr>
            <w:r/>
            <w:r>
              <w:rPr>
                <w:rFonts w:ascii="Arial" w:hAnsi="Arial"/>
                <w:b w:val="0"/>
                <w:i w:val="0"/>
                <w:color w:val="000000"/>
                <w:sz w:val="18"/>
              </w:rPr>
              <w:t>Finding/entity relationship context</w:t>
            </w:r>
          </w:p>
        </w:tc>
        <w:tc>
          <w:tcPr>
            <w:tcW w:type="dxa" w:w="2880"/>
            <w:vAlign w:val="center"/>
            <w:tcMar>
              <w:top w:w="80" w:type="dxa"/>
              <w:start w:w="120" w:type="dxa"/>
              <w:bottom w:w="80" w:type="dxa"/>
              <w:end w:w="120" w:type="dxa"/>
            </w:tcMar>
          </w:tcPr>
          <w:p>
            <w:pPr>
              <w:spacing w:after="20" w:line="252" w:lineRule="auto"/>
            </w:pPr>
            <w:r/>
            <w:r>
              <w:rPr>
                <w:rFonts w:ascii="Arial" w:hAnsi="Arial"/>
                <w:b w:val="0"/>
                <w:i w:val="0"/>
                <w:color w:val="000000"/>
                <w:sz w:val="18"/>
              </w:rPr>
              <w:t>Optional cross-report route</w:t>
            </w:r>
          </w:p>
        </w:tc>
        <w:tc>
          <w:tcPr>
            <w:tcW w:type="dxa" w:w="1980"/>
            <w:vAlign w:val="center"/>
            <w:tcMar>
              <w:top w:w="80" w:type="dxa"/>
              <w:start w:w="120" w:type="dxa"/>
              <w:bottom w:w="80" w:type="dxa"/>
              <w:end w:w="120" w:type="dxa"/>
            </w:tcMar>
          </w:tcPr>
          <w:p>
            <w:pPr>
              <w:spacing w:after="20" w:line="252" w:lineRule="auto"/>
            </w:pPr>
            <w:r/>
            <w:r>
              <w:rPr>
                <w:rFonts w:ascii="Arial" w:hAnsi="Arial"/>
                <w:b w:val="0"/>
                <w:i w:val="0"/>
                <w:color w:val="000000"/>
                <w:sz w:val="18"/>
              </w:rPr>
              <w:t>Enabled in real-report configuration; no isolated ablation [E4][S6]</w:t>
            </w:r>
          </w:p>
        </w:tc>
      </w:tr>
    </w:tbl>
    <w:p>
      <w:pPr>
        <w:spacing w:after="20"/>
      </w:pPr>
    </w:p>
    <w:p>
      <w:pPr>
        <w:pStyle w:val="Heading1"/>
      </w:pPr>
      <w:r>
        <w:t>Selection implications</w:t>
      </w:r>
    </w:p>
    <w:p>
      <w:pPr>
        <w:spacing w:after="120" w:line="276" w:lineRule="auto"/>
      </w:pPr>
      <w:r>
        <w:rPr>
          <w:rFonts w:ascii="Arial" w:hAnsi="Arial"/>
          <w:b w:val="0"/>
          <w:i w:val="0"/>
          <w:color w:val="000000"/>
          <w:sz w:val="21"/>
        </w:rPr>
        <w:t>Published capability is not selection evidence. The final choice must be supported by identical corpus, labels, retrieval budget, generator settings, hardware and measured quality/safety metrics. [S1][S4][E8]</w:t>
      </w:r>
    </w:p>
    <w:p>
      <w:pPr>
        <w:spacing w:after="120" w:line="276" w:lineRule="auto"/>
      </w:pPr>
      <w:r>
        <w:rPr>
          <w:rFonts w:ascii="Arial" w:hAnsi="Arial"/>
          <w:b w:val="0"/>
          <w:i w:val="0"/>
          <w:color w:val="000000"/>
          <w:sz w:val="21"/>
        </w:rPr>
        <w:t>The present evidence supports using the repository as an auditable proof of concept. It does not support claims of superiority over alternative model families or operational performance on unseen audit agencies. [E4][E5]</w:t>
      </w:r>
    </w:p>
    <w:p>
      <w:pPr>
        <w:pStyle w:val="Heading1"/>
      </w:pPr>
      <w:r>
        <w:t>Evidence and sources</w:t>
      </w:r>
    </w:p>
    <w:p>
      <w:pPr>
        <w:spacing w:after="120" w:line="276" w:lineRule="auto"/>
      </w:pPr>
      <w:r>
        <w:rPr>
          <w:rFonts w:ascii="Arial" w:hAnsi="Arial"/>
          <w:b w:val="0"/>
          <w:i w:val="0"/>
          <w:color w:val="000000"/>
          <w:sz w:val="21"/>
        </w:rPr>
        <w:t>Evidence citations used in this report are listed below. External sources describe candidate technologies; repository artifacts support implementation and measured-result statements.</w:t>
      </w:r>
    </w:p>
    <w:p>
      <w:pPr>
        <w:pStyle w:val="Heading1"/>
      </w:pPr>
      <w:r>
        <w:t>Technology adoption decision</w:t>
      </w:r>
    </w:p>
    <w:tbl>
      <w:tblPr>
        <w:tblStyle w:val="TableGrid"/>
        <w:tblW w:type="dxa" w:w="9360"/>
        <w:tblLayout w:type="fixed"/>
        <w:tblLook w:firstColumn="1" w:firstRow="1" w:lastColumn="0" w:lastRow="0" w:noHBand="0" w:noVBand="1" w:val="04A0"/>
        <w:tblInd w:w="120" w:type="dxa"/>
      </w:tblPr>
      <w:tblGrid>
        <w:gridCol w:w="1900"/>
        <w:gridCol w:w="1950"/>
        <w:gridCol w:w="5510"/>
      </w:tblGrid>
      <w:tr>
        <w:tc>
          <w:tcPr>
            <w:tcW w:type="dxa" w:w="1900"/>
            <w:vAlign w:val="center"/>
            <w:tcMar>
              <w:top w:w="80" w:type="dxa"/>
              <w:start w:w="120" w:type="dxa"/>
              <w:bottom w:w="80" w:type="dxa"/>
              <w:end w:w="120" w:type="dxa"/>
            </w:tcMar>
          </w:tcPr>
          <w:p>
            <w:pPr>
              <w:spacing w:after="20"/>
            </w:pPr>
            <w:r/>
            <w:r>
              <w:rPr>
                <w:rFonts w:ascii="Arial" w:hAnsi="Arial"/>
                <w:b/>
                <w:i w:val="0"/>
                <w:color w:val="000000"/>
                <w:sz w:val="18"/>
              </w:rPr>
              <w:t>Capability</w:t>
            </w:r>
          </w:p>
        </w:tc>
        <w:tc>
          <w:tcPr>
            <w:tcW w:type="dxa" w:w="1950"/>
            <w:vAlign w:val="center"/>
            <w:tcMar>
              <w:top w:w="80" w:type="dxa"/>
              <w:start w:w="120" w:type="dxa"/>
              <w:bottom w:w="80" w:type="dxa"/>
              <w:end w:w="120" w:type="dxa"/>
            </w:tcMar>
          </w:tcPr>
          <w:p>
            <w:pPr>
              <w:spacing w:after="20"/>
            </w:pPr>
            <w:r/>
            <w:r>
              <w:rPr>
                <w:rFonts w:ascii="Arial" w:hAnsi="Arial"/>
                <w:b/>
                <w:i w:val="0"/>
                <w:color w:val="000000"/>
                <w:sz w:val="18"/>
              </w:rPr>
              <w:t>Decision for this POC</w:t>
            </w:r>
          </w:p>
        </w:tc>
        <w:tc>
          <w:tcPr>
            <w:tcW w:type="dxa" w:w="5510"/>
            <w:vAlign w:val="center"/>
            <w:tcMar>
              <w:top w:w="80" w:type="dxa"/>
              <w:start w:w="120" w:type="dxa"/>
              <w:bottom w:w="80" w:type="dxa"/>
              <w:end w:w="120" w:type="dxa"/>
            </w:tcMar>
          </w:tcPr>
          <w:p>
            <w:pPr>
              <w:spacing w:after="20"/>
            </w:pPr>
            <w:r/>
            <w:r>
              <w:rPr>
                <w:rFonts w:ascii="Arial" w:hAnsi="Arial"/>
                <w:b/>
                <w:i w:val="0"/>
                <w:color w:val="000000"/>
                <w:sz w:val="18"/>
              </w:rPr>
              <w:t>Reason and review condition</w:t>
            </w:r>
          </w:p>
        </w:tc>
      </w:tr>
      <w:tr>
        <w:tc>
          <w:tcPr>
            <w:tcW w:type="dxa" w:w="1900"/>
            <w:vAlign w:val="center"/>
            <w:tcMar>
              <w:top w:w="80" w:type="dxa"/>
              <w:start w:w="120" w:type="dxa"/>
              <w:bottom w:w="80" w:type="dxa"/>
              <w:end w:w="120" w:type="dxa"/>
            </w:tcMar>
          </w:tcPr>
          <w:p>
            <w:pPr>
              <w:spacing w:after="20" w:line="252" w:lineRule="auto"/>
            </w:pPr>
            <w:r/>
            <w:r>
              <w:rPr>
                <w:rFonts w:ascii="Arial" w:hAnsi="Arial"/>
                <w:b w:val="0"/>
                <w:i w:val="0"/>
                <w:color w:val="000000"/>
                <w:sz w:val="18"/>
              </w:rPr>
              <w:t>Hybrid retrieval</w:t>
            </w:r>
          </w:p>
        </w:tc>
        <w:tc>
          <w:tcPr>
            <w:tcW w:type="dxa" w:w="1950"/>
            <w:vAlign w:val="center"/>
            <w:tcMar>
              <w:top w:w="80" w:type="dxa"/>
              <w:start w:w="120" w:type="dxa"/>
              <w:bottom w:w="80" w:type="dxa"/>
              <w:end w:w="120" w:type="dxa"/>
            </w:tcMar>
          </w:tcPr>
          <w:p>
            <w:pPr>
              <w:spacing w:after="20" w:line="252" w:lineRule="auto"/>
            </w:pPr>
            <w:r/>
            <w:r>
              <w:rPr>
                <w:rFonts w:ascii="Arial" w:hAnsi="Arial"/>
                <w:b w:val="0"/>
                <w:i w:val="0"/>
                <w:color w:val="000000"/>
                <w:sz w:val="18"/>
              </w:rPr>
              <w:t>Adopt</w:t>
            </w:r>
          </w:p>
        </w:tc>
        <w:tc>
          <w:tcPr>
            <w:tcW w:type="dxa" w:w="5510"/>
            <w:vAlign w:val="center"/>
            <w:tcMar>
              <w:top w:w="80" w:type="dxa"/>
              <w:start w:w="120" w:type="dxa"/>
              <w:bottom w:w="80" w:type="dxa"/>
              <w:end w:w="120" w:type="dxa"/>
            </w:tcMar>
          </w:tcPr>
          <w:p>
            <w:pPr>
              <w:spacing w:after="20" w:line="252" w:lineRule="auto"/>
            </w:pPr>
            <w:r/>
            <w:r>
              <w:rPr>
                <w:rFonts w:ascii="Arial" w:hAnsi="Arial"/>
                <w:b w:val="0"/>
                <w:i w:val="0"/>
                <w:color w:val="000000"/>
                <w:sz w:val="18"/>
              </w:rPr>
              <w:t>Completed dense-only versus hybrid comparison improved answer accuracy from 50.00% to 62.50%. [E10]</w:t>
            </w:r>
          </w:p>
        </w:tc>
      </w:tr>
      <w:tr>
        <w:tc>
          <w:tcPr>
            <w:tcW w:type="dxa" w:w="1900"/>
            <w:vAlign w:val="center"/>
            <w:tcMar>
              <w:top w:w="80" w:type="dxa"/>
              <w:start w:w="120" w:type="dxa"/>
              <w:bottom w:w="80" w:type="dxa"/>
              <w:end w:w="120" w:type="dxa"/>
            </w:tcMar>
          </w:tcPr>
          <w:p>
            <w:pPr>
              <w:spacing w:after="20" w:line="252" w:lineRule="auto"/>
            </w:pPr>
            <w:r/>
            <w:r>
              <w:rPr>
                <w:rFonts w:ascii="Arial" w:hAnsi="Arial"/>
                <w:b w:val="0"/>
                <w:i w:val="0"/>
                <w:color w:val="000000"/>
                <w:sz w:val="18"/>
              </w:rPr>
              <w:t>Evidence-first prompting</w:t>
            </w:r>
          </w:p>
        </w:tc>
        <w:tc>
          <w:tcPr>
            <w:tcW w:type="dxa" w:w="1950"/>
            <w:vAlign w:val="center"/>
            <w:tcMar>
              <w:top w:w="80" w:type="dxa"/>
              <w:start w:w="120" w:type="dxa"/>
              <w:bottom w:w="80" w:type="dxa"/>
              <w:end w:w="120" w:type="dxa"/>
            </w:tcMar>
          </w:tcPr>
          <w:p>
            <w:pPr>
              <w:spacing w:after="20" w:line="252" w:lineRule="auto"/>
            </w:pPr>
            <w:r/>
            <w:r>
              <w:rPr>
                <w:rFonts w:ascii="Arial" w:hAnsi="Arial"/>
                <w:b w:val="0"/>
                <w:i w:val="0"/>
                <w:color w:val="000000"/>
                <w:sz w:val="18"/>
              </w:rPr>
              <w:t>Adopt</w:t>
            </w:r>
          </w:p>
        </w:tc>
        <w:tc>
          <w:tcPr>
            <w:tcW w:type="dxa" w:w="5510"/>
            <w:vAlign w:val="center"/>
            <w:tcMar>
              <w:top w:w="80" w:type="dxa"/>
              <w:start w:w="120" w:type="dxa"/>
              <w:bottom w:w="80" w:type="dxa"/>
              <w:end w:w="120" w:type="dxa"/>
            </w:tcMar>
          </w:tcPr>
          <w:p>
            <w:pPr>
              <w:spacing w:after="20" w:line="252" w:lineRule="auto"/>
            </w:pPr>
            <w:r/>
            <w:r>
              <w:rPr>
                <w:rFonts w:ascii="Arial" w:hAnsi="Arial"/>
                <w:b w:val="0"/>
                <w:i w:val="0"/>
                <w:color w:val="000000"/>
                <w:sz w:val="18"/>
              </w:rPr>
              <w:t>v2 improved the Qwen2.5 control and makes evidence IDs machine-checkable. [E10]</w:t>
            </w:r>
          </w:p>
        </w:tc>
      </w:tr>
      <w:tr>
        <w:tc>
          <w:tcPr>
            <w:tcW w:type="dxa" w:w="1900"/>
            <w:vAlign w:val="center"/>
            <w:tcMar>
              <w:top w:w="80" w:type="dxa"/>
              <w:start w:w="120" w:type="dxa"/>
              <w:bottom w:w="80" w:type="dxa"/>
              <w:end w:w="120" w:type="dxa"/>
            </w:tcMar>
          </w:tcPr>
          <w:p>
            <w:pPr>
              <w:spacing w:after="20" w:line="252" w:lineRule="auto"/>
            </w:pPr>
            <w:r/>
            <w:r>
              <w:rPr>
                <w:rFonts w:ascii="Arial" w:hAnsi="Arial"/>
                <w:b w:val="0"/>
                <w:i w:val="0"/>
                <w:color w:val="000000"/>
                <w:sz w:val="18"/>
              </w:rPr>
              <w:t>Reranking</w:t>
            </w:r>
          </w:p>
        </w:tc>
        <w:tc>
          <w:tcPr>
            <w:tcW w:type="dxa" w:w="1950"/>
            <w:vAlign w:val="center"/>
            <w:tcMar>
              <w:top w:w="80" w:type="dxa"/>
              <w:start w:w="120" w:type="dxa"/>
              <w:bottom w:w="80" w:type="dxa"/>
              <w:end w:w="120" w:type="dxa"/>
            </w:tcMar>
          </w:tcPr>
          <w:p>
            <w:pPr>
              <w:spacing w:after="20" w:line="252" w:lineRule="auto"/>
            </w:pPr>
            <w:r/>
            <w:r>
              <w:rPr>
                <w:rFonts w:ascii="Arial" w:hAnsi="Arial"/>
                <w:b w:val="0"/>
                <w:i w:val="0"/>
                <w:color w:val="000000"/>
                <w:sz w:val="18"/>
              </w:rPr>
              <w:t>Defer</w:t>
            </w:r>
          </w:p>
        </w:tc>
        <w:tc>
          <w:tcPr>
            <w:tcW w:type="dxa" w:w="5510"/>
            <w:vAlign w:val="center"/>
            <w:tcMar>
              <w:top w:w="80" w:type="dxa"/>
              <w:start w:w="120" w:type="dxa"/>
              <w:bottom w:w="80" w:type="dxa"/>
              <w:end w:w="120" w:type="dxa"/>
            </w:tcMar>
          </w:tcPr>
          <w:p>
            <w:pPr>
              <w:spacing w:after="20" w:line="252" w:lineRule="auto"/>
            </w:pPr>
            <w:r/>
            <w:r>
              <w:rPr>
                <w:rFonts w:ascii="Arial" w:hAnsi="Arial"/>
                <w:b w:val="0"/>
                <w:i w:val="0"/>
                <w:color w:val="000000"/>
                <w:sz w:val="18"/>
              </w:rPr>
              <w:t>Code path exists, but it was disabled for the 6 GB laptop run; no claimed benefit. [E4][E8]</w:t>
            </w:r>
          </w:p>
        </w:tc>
      </w:tr>
      <w:tr>
        <w:tc>
          <w:tcPr>
            <w:tcW w:type="dxa" w:w="1900"/>
            <w:vAlign w:val="center"/>
            <w:tcMar>
              <w:top w:w="80" w:type="dxa"/>
              <w:start w:w="120" w:type="dxa"/>
              <w:bottom w:w="80" w:type="dxa"/>
              <w:end w:w="120" w:type="dxa"/>
            </w:tcMar>
          </w:tcPr>
          <w:p>
            <w:pPr>
              <w:spacing w:after="20" w:line="252" w:lineRule="auto"/>
            </w:pPr>
            <w:r/>
            <w:r>
              <w:rPr>
                <w:rFonts w:ascii="Arial" w:hAnsi="Arial"/>
                <w:b w:val="0"/>
                <w:i w:val="0"/>
                <w:color w:val="000000"/>
                <w:sz w:val="18"/>
              </w:rPr>
              <w:t>Visual / graph retrieval</w:t>
            </w:r>
          </w:p>
        </w:tc>
        <w:tc>
          <w:tcPr>
            <w:tcW w:type="dxa" w:w="1950"/>
            <w:vAlign w:val="center"/>
            <w:tcMar>
              <w:top w:w="80" w:type="dxa"/>
              <w:start w:w="120" w:type="dxa"/>
              <w:bottom w:w="80" w:type="dxa"/>
              <w:end w:w="120" w:type="dxa"/>
            </w:tcMar>
          </w:tcPr>
          <w:p>
            <w:pPr>
              <w:spacing w:after="20" w:line="252" w:lineRule="auto"/>
            </w:pPr>
            <w:r/>
            <w:r>
              <w:rPr>
                <w:rFonts w:ascii="Arial" w:hAnsi="Arial"/>
                <w:b w:val="0"/>
                <w:i w:val="0"/>
                <w:color w:val="000000"/>
                <w:sz w:val="18"/>
              </w:rPr>
              <w:t>Constrain</w:t>
            </w:r>
          </w:p>
        </w:tc>
        <w:tc>
          <w:tcPr>
            <w:tcW w:type="dxa" w:w="5510"/>
            <w:vAlign w:val="center"/>
            <w:tcMar>
              <w:top w:w="80" w:type="dxa"/>
              <w:start w:w="120" w:type="dxa"/>
              <w:bottom w:w="80" w:type="dxa"/>
              <w:end w:w="120" w:type="dxa"/>
            </w:tcMar>
          </w:tcPr>
          <w:p>
            <w:pPr>
              <w:spacing w:after="20" w:line="252" w:lineRule="auto"/>
            </w:pPr>
            <w:r/>
            <w:r>
              <w:rPr>
                <w:rFonts w:ascii="Arial" w:hAnsi="Arial"/>
                <w:b w:val="0"/>
                <w:i w:val="0"/>
                <w:color w:val="000000"/>
                <w:sz w:val="18"/>
              </w:rPr>
              <w:t>Visual input is outside scope; graph route has no isolated effectiveness result. [E4][E8]</w:t>
            </w:r>
          </w:p>
        </w:tc>
      </w:tr>
    </w:tbl>
    <w:p>
      <w:pPr>
        <w:spacing w:after="20"/>
      </w:pPr>
    </w:p>
    <w:p>
      <w:pPr>
        <w:pStyle w:val="Heading1"/>
      </w:pPr>
      <w:r>
        <w:t>Review conclusion</w:t>
      </w:r>
    </w:p>
    <w:p>
      <w:pPr>
        <w:spacing w:after="120" w:line="276" w:lineRule="auto"/>
      </w:pPr>
      <w:r>
        <w:rPr>
          <w:rFonts w:ascii="Arial" w:hAnsi="Arial"/>
          <w:b w:val="0"/>
          <w:i w:val="0"/>
          <w:color w:val="000000"/>
          <w:sz w:val="21"/>
        </w:rPr>
        <w:t>The technical position is intentionally selective. The submission does not portray every available RAG component as an achievement; it adopts only components supported by a concrete need or a completed local comparison. This makes the architecture credible for an audit-review setting, where explainability and repeatability matter more than novelty. [E8][E10]</w:t>
      </w:r>
    </w:p>
    <w:p>
      <w:pPr>
        <w:spacing w:after="120" w:line="276" w:lineRule="auto"/>
      </w:pPr>
      <w:r>
        <w:rPr>
          <w:rFonts w:ascii="Arial" w:hAnsi="Arial"/>
          <w:b w:val="0"/>
          <w:i w:val="0"/>
          <w:color w:val="000000"/>
          <w:sz w:val="21"/>
        </w:rPr>
        <w:t>The resulting research conclusion is that a local, provenance-preserving hybrid RAG design is a defensible POC foundation. Reranking, visual retrieval and richer graph reasoning remain bounded future experiments with their own acceptance criteria, not implied production features.</w:t>
      </w:r>
    </w:p>
    <w:p>
      <w:pPr>
        <w:pStyle w:val="Heading1"/>
      </w:pPr>
      <w:r>
        <w:t>Repository evidence cited</w:t>
      </w:r>
    </w:p>
    <w:p>
      <w:pPr>
        <w:pStyle w:val="ListBullet"/>
        <w:spacing w:after="60" w:line="264" w:lineRule="auto"/>
      </w:pPr>
      <w:r>
        <w:rPr>
          <w:rFonts w:ascii="Arial" w:hAnsi="Arial"/>
          <w:b w:val="0"/>
          <w:i w:val="0"/>
          <w:color w:val="000000"/>
          <w:sz w:val="20"/>
        </w:rPr>
        <w:t>[E1] src/results/1787426063_6d47ba9f8ee0/: saved baseline run artifacts (one report, 12 questions).</w:t>
      </w:r>
    </w:p>
    <w:p>
      <w:pPr>
        <w:pStyle w:val="ListBullet"/>
        <w:spacing w:after="60" w:line="264" w:lineRule="auto"/>
      </w:pPr>
      <w:r>
        <w:rPr>
          <w:rFonts w:ascii="Arial" w:hAnsi="Arial"/>
          <w:b w:val="0"/>
          <w:i w:val="0"/>
          <w:color w:val="000000"/>
          <w:sz w:val="20"/>
        </w:rPr>
        <w:t>[E4] results/production_real_reports/1787846335_de0ded86a7db/run_config.json and run.log: two-report production-parser run configuration and execution log.</w:t>
      </w:r>
    </w:p>
    <w:p>
      <w:pPr>
        <w:pStyle w:val="ListBullet"/>
        <w:spacing w:after="60" w:line="264" w:lineRule="auto"/>
      </w:pPr>
      <w:r>
        <w:rPr>
          <w:rFonts w:ascii="Arial" w:hAnsi="Arial"/>
          <w:b w:val="0"/>
          <w:i w:val="0"/>
          <w:color w:val="000000"/>
          <w:sz w:val="20"/>
        </w:rPr>
        <w:t>[E8] src/{docling_parser.py,chunking.py,embed_index.py,pipeline.py,evaluation_harness.py,adaptive_rag.py,prompts.py,icl.py}: implementation inspection.</w:t>
      </w:r>
    </w:p>
    <w:p>
      <w:pPr>
        <w:pStyle w:val="ListBullet"/>
        <w:spacing w:after="60" w:line="264" w:lineRule="auto"/>
      </w:pPr>
      <w:r>
        <w:rPr>
          <w:rFonts w:ascii="Arial" w:hAnsi="Arial"/>
          <w:b w:val="0"/>
          <w:i w:val="0"/>
          <w:color w:val="000000"/>
          <w:sz w:val="20"/>
        </w:rPr>
        <w:t>[E10] results/final_validation/VALIDATION_SUMMARY.md and its cited run directories: controlled local LLM, ICL, prompt, retrieval, CRAG, chunking and chunk-parameter comparisons completed 28 August 2026.</w:t>
      </w:r>
    </w:p>
    <w:p>
      <w:pPr>
        <w:pStyle w:val="Heading1"/>
      </w:pPr>
      <w:r>
        <w:t>External technology sources</w:t>
      </w:r>
    </w:p>
    <w:p>
      <w:pPr>
        <w:pStyle w:val="ListBullet"/>
        <w:spacing w:after="60" w:line="264" w:lineRule="auto"/>
      </w:pPr>
      <w:r>
        <w:rPr>
          <w:rFonts w:ascii="Arial" w:hAnsi="Arial"/>
          <w:b w:val="0"/>
          <w:i w:val="0"/>
          <w:color w:val="000000"/>
          <w:sz w:val="20"/>
        </w:rPr>
        <w:t>[S1] Chen et al. (2024), BGE-M3-Embedding, arXiv:2402.03216, https://arxiv.org/abs/2402.03216.</w:t>
      </w:r>
    </w:p>
    <w:p>
      <w:pPr>
        <w:pStyle w:val="ListBullet"/>
        <w:spacing w:after="60" w:line="264" w:lineRule="auto"/>
      </w:pPr>
      <w:r>
        <w:rPr>
          <w:rFonts w:ascii="Arial" w:hAnsi="Arial"/>
          <w:b w:val="0"/>
          <w:i w:val="0"/>
          <w:color w:val="000000"/>
          <w:sz w:val="20"/>
        </w:rPr>
        <w:t>[S2] Santhanam et al. (2021), ColBERTv2, arXiv:2112.01488, https://arxiv.org/abs/2112.01488.</w:t>
      </w:r>
    </w:p>
    <w:p>
      <w:pPr>
        <w:pStyle w:val="ListBullet"/>
        <w:spacing w:after="60" w:line="264" w:lineRule="auto"/>
      </w:pPr>
      <w:r>
        <w:rPr>
          <w:rFonts w:ascii="Arial" w:hAnsi="Arial"/>
          <w:b w:val="0"/>
          <w:i w:val="0"/>
          <w:color w:val="000000"/>
          <w:sz w:val="20"/>
        </w:rPr>
        <w:t>[S3] Faysse et al. (2025), ColPali, arXiv:2407.01449, https://arxiv.org/abs/2407.01449.</w:t>
      </w:r>
    </w:p>
    <w:p>
      <w:pPr>
        <w:pStyle w:val="ListBullet"/>
        <w:spacing w:after="60" w:line="264" w:lineRule="auto"/>
      </w:pPr>
      <w:r>
        <w:rPr>
          <w:rFonts w:ascii="Arial" w:hAnsi="Arial"/>
          <w:b w:val="0"/>
          <w:i w:val="0"/>
          <w:color w:val="000000"/>
          <w:sz w:val="20"/>
        </w:rPr>
        <w:t>[S4] Yang et al. (2025), Qwen3 Technical Report, arXiv:2505.09388, https://arxiv.org/abs/2505.09388.</w:t>
      </w:r>
    </w:p>
    <w:p>
      <w:pPr>
        <w:pStyle w:val="ListBullet"/>
        <w:spacing w:after="60" w:line="264" w:lineRule="auto"/>
      </w:pPr>
      <w:r>
        <w:rPr>
          <w:rFonts w:ascii="Arial" w:hAnsi="Arial"/>
          <w:b w:val="0"/>
          <w:i w:val="0"/>
          <w:color w:val="000000"/>
          <w:sz w:val="20"/>
        </w:rPr>
        <w:t>[S5] Qwen (2025), Qwen3-Reranker-4B model card, https://huggingface.co/Qwen/Qwen3-Reranker-4B.</w:t>
      </w:r>
    </w:p>
    <w:p>
      <w:pPr>
        <w:pStyle w:val="ListBullet"/>
        <w:spacing w:after="60" w:line="264" w:lineRule="auto"/>
      </w:pPr>
      <w:r>
        <w:rPr>
          <w:rFonts w:ascii="Arial" w:hAnsi="Arial"/>
          <w:b w:val="0"/>
          <w:i w:val="0"/>
          <w:color w:val="000000"/>
          <w:sz w:val="20"/>
        </w:rPr>
        <w:t>[S6] Microsoft GraphRAG query documentation, https://microsoft.github.io/graphrag/query/overview/.</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000000"/>
        <w:sz w:val="17"/>
      </w:rPr>
      <w:t>D01 Literature and Technology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val="0"/>
        <w:i w:val="0"/>
        <w:color w:val="000000"/>
        <w:sz w:val="17"/>
      </w:rPr>
      <w:t>Objective 3 | AI-Based Cyber Security Audit Assessment Against Benchmark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line="264"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line="264"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