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color w:val="000000"/>
          <w:sz w:val="44"/>
        </w:rPr>
        <w:t>D3. Zero-Shot and In-Context Learning Design</w:t>
      </w:r>
    </w:p>
    <w:p>
      <w:pPr>
        <w:spacing w:after="280"/>
      </w:pPr>
      <w:r>
        <w:rPr>
          <w:rFonts w:ascii="Arial" w:hAnsi="Arial"/>
          <w:b w:val="0"/>
          <w:i/>
          <w:color w:val="000000"/>
          <w:sz w:val="22"/>
        </w:rPr>
        <w:t>ICL implementation, comparison protocol, and evidence boundary.</w:t>
      </w:r>
    </w:p>
    <w:tbl>
      <w:tblPr>
        <w:tblStyle w:val="TableGrid"/>
        <w:tblW w:type="dxa" w:w="9360"/>
        <w:tblLayout w:type="fixed"/>
        <w:tblLook w:firstColumn="1" w:firstRow="1" w:lastColumn="0" w:lastRow="0" w:noHBand="0" w:noVBand="1" w:val="04A0"/>
        <w:tblInd w:w="120" w:type="dxa"/>
      </w:tblPr>
      <w:tblGrid>
        <w:gridCol w:w="1850"/>
        <w:gridCol w:w="7510"/>
      </w:tblGrid>
      <w:tr>
        <w:tc>
          <w:tcPr>
            <w:tcW w:type="dxa" w:w="1850"/>
            <w:vAlign w:val="center"/>
            <w:tcMar>
              <w:top w:w="80" w:type="dxa"/>
              <w:start w:w="120" w:type="dxa"/>
              <w:bottom w:w="80" w:type="dxa"/>
              <w:end w:w="120" w:type="dxa"/>
            </w:tcMar>
          </w:tcPr>
          <w:p>
            <w:pPr>
              <w:spacing w:after="20"/>
            </w:pPr>
            <w:r/>
            <w:r>
              <w:rPr>
                <w:rFonts w:ascii="Arial" w:hAnsi="Arial"/>
                <w:b/>
                <w:i w:val="0"/>
                <w:color w:val="000000"/>
                <w:sz w:val="18"/>
              </w:rPr>
              <w:t>Field</w:t>
            </w:r>
          </w:p>
        </w:tc>
        <w:tc>
          <w:tcPr>
            <w:tcW w:type="dxa" w:w="7510"/>
            <w:vAlign w:val="center"/>
            <w:tcMar>
              <w:top w:w="80" w:type="dxa"/>
              <w:start w:w="120" w:type="dxa"/>
              <w:bottom w:w="80" w:type="dxa"/>
              <w:end w:w="120" w:type="dxa"/>
            </w:tcMar>
          </w:tcPr>
          <w:p>
            <w:pPr>
              <w:spacing w:after="20"/>
            </w:pPr>
            <w:r/>
            <w:r>
              <w:rPr>
                <w:rFonts w:ascii="Arial" w:hAnsi="Arial"/>
                <w:b/>
                <w:i w:val="0"/>
                <w:color w:val="000000"/>
                <w:sz w:val="18"/>
              </w:rPr>
              <w:t>Value</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Project</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Development of AI-Based Cyber Security Audit Assessment Against Benchmark</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Scope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Objective 3; secure local/air-gapped RAG proof of concept</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 date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28 August 2026</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Evidence rule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Implemented, tested and untested claims are labelled separately.</w:t>
            </w:r>
          </w:p>
        </w:tc>
      </w:tr>
    </w:tbl>
    <w:p>
      <w:pPr>
        <w:spacing w:after="20"/>
      </w:pPr>
    </w:p>
    <w:p>
      <w:pPr>
        <w:pStyle w:val="Heading1"/>
      </w:pPr>
      <w:r>
        <w:t>ICL experiment and design decision</w:t>
      </w:r>
    </w:p>
    <w:tbl>
      <w:tblPr>
        <w:tblStyle w:val="TableGrid"/>
        <w:tblW w:type="dxa" w:w="9360"/>
        <w:tblLayout w:type="fixed"/>
        <w:tblLook w:firstColumn="1" w:firstRow="1" w:lastColumn="0" w:lastRow="0" w:noHBand="0" w:noVBand="1" w:val="04A0"/>
        <w:tblInd w:w="120" w:type="dxa"/>
      </w:tblPr>
      <w:tblGrid>
        <w:gridCol w:w="2100"/>
        <w:gridCol w:w="2450"/>
        <w:gridCol w:w="1250"/>
        <w:gridCol w:w="1250"/>
        <w:gridCol w:w="2310"/>
      </w:tblGrid>
      <w:tr>
        <w:tc>
          <w:tcPr>
            <w:tcW w:type="dxa" w:w="2100"/>
            <w:vAlign w:val="center"/>
            <w:tcMar>
              <w:top w:w="80" w:type="dxa"/>
              <w:start w:w="120" w:type="dxa"/>
              <w:bottom w:w="80" w:type="dxa"/>
              <w:end w:w="120" w:type="dxa"/>
            </w:tcMar>
          </w:tcPr>
          <w:p>
            <w:pPr>
              <w:spacing w:after="20"/>
            </w:pPr>
            <w:r/>
            <w:r>
              <w:rPr>
                <w:rFonts w:ascii="Arial" w:hAnsi="Arial"/>
                <w:b/>
                <w:i w:val="0"/>
                <w:color w:val="000000"/>
                <w:sz w:val="18"/>
              </w:rPr>
              <w:t>Configuration</w:t>
            </w:r>
          </w:p>
        </w:tc>
        <w:tc>
          <w:tcPr>
            <w:tcW w:type="dxa" w:w="2450"/>
            <w:vAlign w:val="center"/>
            <w:tcMar>
              <w:top w:w="80" w:type="dxa"/>
              <w:start w:w="120" w:type="dxa"/>
              <w:bottom w:w="80" w:type="dxa"/>
              <w:end w:w="120" w:type="dxa"/>
            </w:tcMar>
          </w:tcPr>
          <w:p>
            <w:pPr>
              <w:spacing w:after="20"/>
            </w:pPr>
            <w:r/>
            <w:r>
              <w:rPr>
                <w:rFonts w:ascii="Arial" w:hAnsi="Arial"/>
                <w:b/>
                <w:i w:val="0"/>
                <w:color w:val="000000"/>
                <w:sz w:val="18"/>
              </w:rPr>
              <w:t>Examples supplied</w:t>
            </w:r>
          </w:p>
        </w:tc>
        <w:tc>
          <w:tcPr>
            <w:tcW w:type="dxa" w:w="1250"/>
            <w:vAlign w:val="center"/>
            <w:tcMar>
              <w:top w:w="80" w:type="dxa"/>
              <w:start w:w="120" w:type="dxa"/>
              <w:bottom w:w="80" w:type="dxa"/>
              <w:end w:w="120" w:type="dxa"/>
            </w:tcMar>
          </w:tcPr>
          <w:p>
            <w:pPr>
              <w:spacing w:after="20"/>
            </w:pPr>
            <w:r/>
            <w:r>
              <w:rPr>
                <w:rFonts w:ascii="Arial" w:hAnsi="Arial"/>
                <w:b/>
                <w:i w:val="0"/>
                <w:color w:val="000000"/>
                <w:sz w:val="18"/>
              </w:rPr>
              <w:t>Accuracy</w:t>
            </w:r>
          </w:p>
        </w:tc>
        <w:tc>
          <w:tcPr>
            <w:tcW w:type="dxa" w:w="1250"/>
            <w:vAlign w:val="center"/>
            <w:tcMar>
              <w:top w:w="80" w:type="dxa"/>
              <w:start w:w="120" w:type="dxa"/>
              <w:bottom w:w="80" w:type="dxa"/>
              <w:end w:w="120" w:type="dxa"/>
            </w:tcMar>
          </w:tcPr>
          <w:p>
            <w:pPr>
              <w:spacing w:after="20"/>
            </w:pPr>
            <w:r/>
            <w:r>
              <w:rPr>
                <w:rFonts w:ascii="Arial" w:hAnsi="Arial"/>
                <w:b/>
                <w:i w:val="0"/>
                <w:color w:val="000000"/>
                <w:sz w:val="18"/>
              </w:rPr>
              <w:t>Macro-F1</w:t>
            </w:r>
          </w:p>
        </w:tc>
        <w:tc>
          <w:tcPr>
            <w:tcW w:type="dxa" w:w="2310"/>
            <w:vAlign w:val="center"/>
            <w:tcMar>
              <w:top w:w="80" w:type="dxa"/>
              <w:start w:w="120" w:type="dxa"/>
              <w:bottom w:w="80" w:type="dxa"/>
              <w:end w:w="120" w:type="dxa"/>
            </w:tcMar>
          </w:tcPr>
          <w:p>
            <w:pPr>
              <w:spacing w:after="20"/>
            </w:pPr>
            <w:r/>
            <w:r>
              <w:rPr>
                <w:rFonts w:ascii="Arial" w:hAnsi="Arial"/>
                <w:b/>
                <w:i w:val="0"/>
                <w:color w:val="000000"/>
                <w:sz w:val="18"/>
              </w:rPr>
              <w:t>Decision</w:t>
            </w:r>
          </w:p>
        </w:tc>
      </w:tr>
      <w:tr>
        <w:tc>
          <w:tcPr>
            <w:tcW w:type="dxa" w:w="2100"/>
            <w:vAlign w:val="center"/>
            <w:tcMar>
              <w:top w:w="80" w:type="dxa"/>
              <w:start w:w="120" w:type="dxa"/>
              <w:bottom w:w="80" w:type="dxa"/>
              <w:end w:w="120" w:type="dxa"/>
            </w:tcMar>
          </w:tcPr>
          <w:p>
            <w:pPr>
              <w:spacing w:after="20" w:line="252" w:lineRule="auto"/>
            </w:pPr>
            <w:r/>
            <w:r>
              <w:rPr>
                <w:rFonts w:ascii="Arial" w:hAnsi="Arial"/>
                <w:b w:val="0"/>
                <w:i w:val="0"/>
                <w:color w:val="000000"/>
                <w:sz w:val="18"/>
              </w:rPr>
              <w:t>Zero shot</w:t>
            </w:r>
          </w:p>
        </w:tc>
        <w:tc>
          <w:tcPr>
            <w:tcW w:type="dxa" w:w="2450"/>
            <w:vAlign w:val="center"/>
            <w:tcMar>
              <w:top w:w="80" w:type="dxa"/>
              <w:start w:w="120" w:type="dxa"/>
              <w:bottom w:w="80" w:type="dxa"/>
              <w:end w:w="120" w:type="dxa"/>
            </w:tcMar>
          </w:tcPr>
          <w:p>
            <w:pPr>
              <w:spacing w:after="20" w:line="252" w:lineRule="auto"/>
            </w:pPr>
            <w:r/>
            <w:r>
              <w:rPr>
                <w:rFonts w:ascii="Arial" w:hAnsi="Arial"/>
                <w:b w:val="0"/>
                <w:i w:val="0"/>
                <w:color w:val="000000"/>
                <w:sz w:val="18"/>
              </w:rPr>
              <w:t>No demonstrations</w:t>
            </w:r>
          </w:p>
        </w:tc>
        <w:tc>
          <w:tcPr>
            <w:tcW w:type="dxa" w:w="1250"/>
            <w:vAlign w:val="center"/>
            <w:tcMar>
              <w:top w:w="80" w:type="dxa"/>
              <w:start w:w="120" w:type="dxa"/>
              <w:bottom w:w="80" w:type="dxa"/>
              <w:end w:w="120" w:type="dxa"/>
            </w:tcMar>
          </w:tcPr>
          <w:p>
            <w:pPr>
              <w:spacing w:after="20" w:line="252" w:lineRule="auto"/>
            </w:pPr>
            <w:r/>
            <w:r>
              <w:rPr>
                <w:rFonts w:ascii="Arial" w:hAnsi="Arial"/>
                <w:b w:val="0"/>
                <w:i w:val="0"/>
                <w:color w:val="000000"/>
                <w:sz w:val="18"/>
              </w:rPr>
              <w:t>75.00%</w:t>
            </w:r>
          </w:p>
        </w:tc>
        <w:tc>
          <w:tcPr>
            <w:tcW w:type="dxa" w:w="1250"/>
            <w:vAlign w:val="center"/>
            <w:tcMar>
              <w:top w:w="80" w:type="dxa"/>
              <w:start w:w="120" w:type="dxa"/>
              <w:bottom w:w="80" w:type="dxa"/>
              <w:end w:w="120" w:type="dxa"/>
            </w:tcMar>
          </w:tcPr>
          <w:p>
            <w:pPr>
              <w:spacing w:after="20" w:line="252" w:lineRule="auto"/>
            </w:pPr>
            <w:r/>
            <w:r>
              <w:rPr>
                <w:rFonts w:ascii="Arial" w:hAnsi="Arial"/>
                <w:b w:val="0"/>
                <w:i w:val="0"/>
                <w:color w:val="000000"/>
                <w:sz w:val="18"/>
              </w:rPr>
              <w:t>0.4697</w:t>
            </w:r>
          </w:p>
        </w:tc>
        <w:tc>
          <w:tcPr>
            <w:tcW w:type="dxa" w:w="2310"/>
            <w:vAlign w:val="center"/>
            <w:tcMar>
              <w:top w:w="80" w:type="dxa"/>
              <w:start w:w="120" w:type="dxa"/>
              <w:bottom w:w="80" w:type="dxa"/>
              <w:end w:w="120" w:type="dxa"/>
            </w:tcMar>
          </w:tcPr>
          <w:p>
            <w:pPr>
              <w:spacing w:after="20" w:line="252" w:lineRule="auto"/>
            </w:pPr>
            <w:r/>
            <w:r>
              <w:rPr>
                <w:rFonts w:ascii="Arial" w:hAnsi="Arial"/>
                <w:b w:val="0"/>
                <w:i w:val="0"/>
                <w:color w:val="000000"/>
                <w:sz w:val="18"/>
              </w:rPr>
              <w:t>Best Qwen2.5 control result</w:t>
            </w:r>
          </w:p>
        </w:tc>
      </w:tr>
      <w:tr>
        <w:tc>
          <w:tcPr>
            <w:tcW w:type="dxa" w:w="2100"/>
            <w:vAlign w:val="center"/>
            <w:tcMar>
              <w:top w:w="80" w:type="dxa"/>
              <w:start w:w="120" w:type="dxa"/>
              <w:bottom w:w="80" w:type="dxa"/>
              <w:end w:w="120" w:type="dxa"/>
            </w:tcMar>
          </w:tcPr>
          <w:p>
            <w:pPr>
              <w:spacing w:after="20" w:line="252" w:lineRule="auto"/>
            </w:pPr>
            <w:r/>
            <w:r>
              <w:rPr>
                <w:rFonts w:ascii="Arial" w:hAnsi="Arial"/>
                <w:b w:val="0"/>
                <w:i w:val="0"/>
                <w:color w:val="000000"/>
                <w:sz w:val="18"/>
              </w:rPr>
              <w:t>Retrieval few shot</w:t>
            </w:r>
          </w:p>
        </w:tc>
        <w:tc>
          <w:tcPr>
            <w:tcW w:type="dxa" w:w="2450"/>
            <w:vAlign w:val="center"/>
            <w:tcMar>
              <w:top w:w="80" w:type="dxa"/>
              <w:start w:w="120" w:type="dxa"/>
              <w:bottom w:w="80" w:type="dxa"/>
              <w:end w:w="120" w:type="dxa"/>
            </w:tcMar>
          </w:tcPr>
          <w:p>
            <w:pPr>
              <w:spacing w:after="20" w:line="252" w:lineRule="auto"/>
            </w:pPr>
            <w:r/>
            <w:r>
              <w:rPr>
                <w:rFonts w:ascii="Arial" w:hAnsi="Arial"/>
                <w:b w:val="0"/>
                <w:i w:val="0"/>
                <w:color w:val="000000"/>
                <w:sz w:val="18"/>
              </w:rPr>
              <w:t>4 semantically selected local examples</w:t>
            </w:r>
          </w:p>
        </w:tc>
        <w:tc>
          <w:tcPr>
            <w:tcW w:type="dxa" w:w="1250"/>
            <w:vAlign w:val="center"/>
            <w:tcMar>
              <w:top w:w="80" w:type="dxa"/>
              <w:start w:w="120" w:type="dxa"/>
              <w:bottom w:w="80" w:type="dxa"/>
              <w:end w:w="120" w:type="dxa"/>
            </w:tcMar>
          </w:tcPr>
          <w:p>
            <w:pPr>
              <w:spacing w:after="20" w:line="252" w:lineRule="auto"/>
            </w:pPr>
            <w:r/>
            <w:r>
              <w:rPr>
                <w:rFonts w:ascii="Arial" w:hAnsi="Arial"/>
                <w:b w:val="0"/>
                <w:i w:val="0"/>
                <w:color w:val="000000"/>
                <w:sz w:val="18"/>
              </w:rPr>
              <w:t>62.50%</w:t>
            </w:r>
          </w:p>
        </w:tc>
        <w:tc>
          <w:tcPr>
            <w:tcW w:type="dxa" w:w="1250"/>
            <w:vAlign w:val="center"/>
            <w:tcMar>
              <w:top w:w="80" w:type="dxa"/>
              <w:start w:w="120" w:type="dxa"/>
              <w:bottom w:w="80" w:type="dxa"/>
              <w:end w:w="120" w:type="dxa"/>
            </w:tcMar>
          </w:tcPr>
          <w:p>
            <w:pPr>
              <w:spacing w:after="20" w:line="252" w:lineRule="auto"/>
            </w:pPr>
            <w:r/>
            <w:r>
              <w:rPr>
                <w:rFonts w:ascii="Arial" w:hAnsi="Arial"/>
                <w:b w:val="0"/>
                <w:i w:val="0"/>
                <w:color w:val="000000"/>
                <w:sz w:val="18"/>
              </w:rPr>
              <w:t>0.4190</w:t>
            </w:r>
          </w:p>
        </w:tc>
        <w:tc>
          <w:tcPr>
            <w:tcW w:type="dxa" w:w="2310"/>
            <w:vAlign w:val="center"/>
            <w:tcMar>
              <w:top w:w="80" w:type="dxa"/>
              <w:start w:w="120" w:type="dxa"/>
              <w:bottom w:w="80" w:type="dxa"/>
              <w:end w:w="120" w:type="dxa"/>
            </w:tcMar>
          </w:tcPr>
          <w:p>
            <w:pPr>
              <w:spacing w:after="20" w:line="252" w:lineRule="auto"/>
            </w:pPr>
            <w:r/>
            <w:r>
              <w:rPr>
                <w:rFonts w:ascii="Arial" w:hAnsi="Arial"/>
                <w:b w:val="0"/>
                <w:i w:val="0"/>
                <w:color w:val="000000"/>
                <w:sz w:val="18"/>
              </w:rPr>
              <w:t>Works; not selected on this control</w:t>
            </w:r>
          </w:p>
        </w:tc>
      </w:tr>
      <w:tr>
        <w:tc>
          <w:tcPr>
            <w:tcW w:type="dxa" w:w="2100"/>
            <w:vAlign w:val="center"/>
            <w:tcMar>
              <w:top w:w="80" w:type="dxa"/>
              <w:start w:w="120" w:type="dxa"/>
              <w:bottom w:w="80" w:type="dxa"/>
              <w:end w:w="120" w:type="dxa"/>
            </w:tcMar>
          </w:tcPr>
          <w:p>
            <w:pPr>
              <w:spacing w:after="20" w:line="252" w:lineRule="auto"/>
            </w:pPr>
            <w:r/>
            <w:r>
              <w:rPr>
                <w:rFonts w:ascii="Arial" w:hAnsi="Arial"/>
                <w:b w:val="0"/>
                <w:i w:val="0"/>
                <w:color w:val="000000"/>
                <w:sz w:val="18"/>
              </w:rPr>
              <w:t>Fixed few shot</w:t>
            </w:r>
          </w:p>
        </w:tc>
        <w:tc>
          <w:tcPr>
            <w:tcW w:type="dxa" w:w="2450"/>
            <w:vAlign w:val="center"/>
            <w:tcMar>
              <w:top w:w="80" w:type="dxa"/>
              <w:start w:w="120" w:type="dxa"/>
              <w:bottom w:w="80" w:type="dxa"/>
              <w:end w:w="120" w:type="dxa"/>
            </w:tcMar>
          </w:tcPr>
          <w:p>
            <w:pPr>
              <w:spacing w:after="20" w:line="252" w:lineRule="auto"/>
            </w:pPr>
            <w:r/>
            <w:r>
              <w:rPr>
                <w:rFonts w:ascii="Arial" w:hAnsi="Arial"/>
                <w:b w:val="0"/>
                <w:i w:val="0"/>
                <w:color w:val="000000"/>
                <w:sz w:val="18"/>
              </w:rPr>
              <w:t>Fixed local examples</w:t>
            </w:r>
          </w:p>
        </w:tc>
        <w:tc>
          <w:tcPr>
            <w:tcW w:type="dxa" w:w="1250"/>
            <w:vAlign w:val="center"/>
            <w:tcMar>
              <w:top w:w="80" w:type="dxa"/>
              <w:start w:w="120" w:type="dxa"/>
              <w:bottom w:w="80" w:type="dxa"/>
              <w:end w:w="120" w:type="dxa"/>
            </w:tcMar>
          </w:tcPr>
          <w:p>
            <w:pPr>
              <w:spacing w:after="20" w:line="252" w:lineRule="auto"/>
            </w:pPr>
            <w:r/>
            <w:r>
              <w:rPr>
                <w:rFonts w:ascii="Arial" w:hAnsi="Arial"/>
                <w:b w:val="0"/>
                <w:i w:val="0"/>
                <w:color w:val="000000"/>
                <w:sz w:val="18"/>
              </w:rPr>
              <w:t>50.00%</w:t>
            </w:r>
          </w:p>
        </w:tc>
        <w:tc>
          <w:tcPr>
            <w:tcW w:type="dxa" w:w="1250"/>
            <w:vAlign w:val="center"/>
            <w:tcMar>
              <w:top w:w="80" w:type="dxa"/>
              <w:start w:w="120" w:type="dxa"/>
              <w:bottom w:w="80" w:type="dxa"/>
              <w:end w:w="120" w:type="dxa"/>
            </w:tcMar>
          </w:tcPr>
          <w:p>
            <w:pPr>
              <w:spacing w:after="20" w:line="252" w:lineRule="auto"/>
            </w:pPr>
            <w:r/>
            <w:r>
              <w:rPr>
                <w:rFonts w:ascii="Arial" w:hAnsi="Arial"/>
                <w:b w:val="0"/>
                <w:i w:val="0"/>
                <w:color w:val="000000"/>
                <w:sz w:val="18"/>
              </w:rPr>
              <w:t>0.3789</w:t>
            </w:r>
          </w:p>
        </w:tc>
        <w:tc>
          <w:tcPr>
            <w:tcW w:type="dxa" w:w="2310"/>
            <w:vAlign w:val="center"/>
            <w:tcMar>
              <w:top w:w="80" w:type="dxa"/>
              <w:start w:w="120" w:type="dxa"/>
              <w:bottom w:w="80" w:type="dxa"/>
              <w:end w:w="120" w:type="dxa"/>
            </w:tcMar>
          </w:tcPr>
          <w:p>
            <w:pPr>
              <w:spacing w:after="20" w:line="252" w:lineRule="auto"/>
            </w:pPr>
            <w:r/>
            <w:r>
              <w:rPr>
                <w:rFonts w:ascii="Arial" w:hAnsi="Arial"/>
                <w:b w:val="0"/>
                <w:i w:val="0"/>
                <w:color w:val="000000"/>
                <w:sz w:val="18"/>
              </w:rPr>
              <w:t>Not selected</w:t>
            </w:r>
          </w:p>
        </w:tc>
      </w:tr>
    </w:tbl>
    <w:p>
      <w:pPr>
        <w:spacing w:after="20"/>
      </w:pPr>
    </w:p>
    <w:p>
      <w:pPr>
        <w:pStyle w:val="Heading1"/>
      </w:pPr>
      <w:r>
        <w:t>Why examples remain a controlled variable</w:t>
      </w:r>
    </w:p>
    <w:p>
      <w:pPr>
        <w:spacing w:after="120" w:line="276" w:lineRule="auto"/>
      </w:pPr>
      <w:r>
        <w:rPr>
          <w:rFonts w:ascii="Arial" w:hAnsi="Arial"/>
          <w:b w:val="0"/>
          <w:i w:val="0"/>
          <w:color w:val="000000"/>
          <w:sz w:val="21"/>
        </w:rPr>
        <w:t>Few-shot examples are not report evidence. They are local formatting and reasoning demonstrations, selected separately from the retrieved audit report. Keeping that boundary explicit prevents an ICL example from silently introducing facts into an assessment answer. [E8][E10]</w:t>
      </w:r>
    </w:p>
    <w:p>
      <w:pPr>
        <w:spacing w:after="120" w:line="276" w:lineRule="auto"/>
      </w:pPr>
      <w:r>
        <w:rPr>
          <w:rFonts w:ascii="Arial" w:hAnsi="Arial"/>
          <w:b w:val="0"/>
          <w:i w:val="0"/>
          <w:color w:val="000000"/>
          <w:sz w:val="21"/>
        </w:rPr>
        <w:t>The observed zero-shot result means the present four-example bank did not improve this small Qwen2.5 evaluation. The final Qwen3 configuration retains retrieval few shot only as the existing production-shaped setting; zero shot should be retested with Qwen3 before a cross-model ICL conclusion is made. [E10]</w:t>
      </w:r>
    </w:p>
    <w:p>
      <w:pPr>
        <w:pStyle w:val="Heading1"/>
      </w:pPr>
      <w:r>
        <w:t>Implemented strategies</w:t>
      </w:r>
    </w:p>
    <w:tbl>
      <w:tblPr>
        <w:tblStyle w:val="TableGrid"/>
        <w:tblW w:type="dxa" w:w="9360"/>
        <w:tblLayout w:type="fixed"/>
        <w:tblLook w:firstColumn="1" w:firstRow="1" w:lastColumn="0" w:lastRow="0" w:noHBand="0" w:noVBand="1" w:val="04A0"/>
        <w:tblInd w:w="120" w:type="dxa"/>
      </w:tblPr>
      <w:tblGrid>
        <w:gridCol w:w="2200"/>
        <w:gridCol w:w="4100"/>
        <w:gridCol w:w="3060"/>
      </w:tblGrid>
      <w:tr>
        <w:tc>
          <w:tcPr>
            <w:tcW w:type="dxa" w:w="2200"/>
            <w:vAlign w:val="center"/>
            <w:tcMar>
              <w:top w:w="80" w:type="dxa"/>
              <w:start w:w="120" w:type="dxa"/>
              <w:bottom w:w="80" w:type="dxa"/>
              <w:end w:w="120" w:type="dxa"/>
            </w:tcMar>
          </w:tcPr>
          <w:p>
            <w:pPr>
              <w:spacing w:after="20"/>
            </w:pPr>
            <w:r/>
            <w:r>
              <w:rPr>
                <w:rFonts w:ascii="Arial" w:hAnsi="Arial"/>
                <w:b/>
                <w:i w:val="0"/>
                <w:color w:val="000000"/>
                <w:sz w:val="18"/>
              </w:rPr>
              <w:t>Strategy</w:t>
            </w:r>
          </w:p>
        </w:tc>
        <w:tc>
          <w:tcPr>
            <w:tcW w:type="dxa" w:w="4100"/>
            <w:vAlign w:val="center"/>
            <w:tcMar>
              <w:top w:w="80" w:type="dxa"/>
              <w:start w:w="120" w:type="dxa"/>
              <w:bottom w:w="80" w:type="dxa"/>
              <w:end w:w="120" w:type="dxa"/>
            </w:tcMar>
          </w:tcPr>
          <w:p>
            <w:pPr>
              <w:spacing w:after="20"/>
            </w:pPr>
            <w:r/>
            <w:r>
              <w:rPr>
                <w:rFonts w:ascii="Arial" w:hAnsi="Arial"/>
                <w:b/>
                <w:i w:val="0"/>
                <w:color w:val="000000"/>
                <w:sz w:val="18"/>
              </w:rPr>
              <w:t>Implementation</w:t>
            </w:r>
          </w:p>
        </w:tc>
        <w:tc>
          <w:tcPr>
            <w:tcW w:type="dxa" w:w="3060"/>
            <w:vAlign w:val="center"/>
            <w:tcMar>
              <w:top w:w="80" w:type="dxa"/>
              <w:start w:w="120" w:type="dxa"/>
              <w:bottom w:w="80" w:type="dxa"/>
              <w:end w:w="120" w:type="dxa"/>
            </w:tcMar>
          </w:tcPr>
          <w:p>
            <w:pPr>
              <w:spacing w:after="20"/>
            </w:pPr>
            <w:r/>
            <w:r>
              <w:rPr>
                <w:rFonts w:ascii="Arial" w:hAnsi="Arial"/>
                <w:b/>
                <w:i w:val="0"/>
                <w:color w:val="000000"/>
                <w:sz w:val="18"/>
              </w:rPr>
              <w:t>Use</w:t>
            </w:r>
          </w:p>
        </w:tc>
      </w:tr>
      <w:tr>
        <w:tc>
          <w:tcPr>
            <w:tcW w:type="dxa" w:w="2200"/>
            <w:vAlign w:val="center"/>
            <w:tcMar>
              <w:top w:w="80" w:type="dxa"/>
              <w:start w:w="120" w:type="dxa"/>
              <w:bottom w:w="80" w:type="dxa"/>
              <w:end w:w="120" w:type="dxa"/>
            </w:tcMar>
          </w:tcPr>
          <w:p>
            <w:pPr>
              <w:spacing w:after="20" w:line="252" w:lineRule="auto"/>
            </w:pPr>
            <w:r/>
            <w:r>
              <w:rPr>
                <w:rFonts w:ascii="Arial" w:hAnsi="Arial"/>
                <w:b w:val="0"/>
                <w:i w:val="0"/>
                <w:color w:val="000000"/>
                <w:sz w:val="18"/>
              </w:rPr>
              <w:t>zero_shot</w:t>
            </w:r>
          </w:p>
        </w:tc>
        <w:tc>
          <w:tcPr>
            <w:tcW w:type="dxa" w:w="4100"/>
            <w:vAlign w:val="center"/>
            <w:tcMar>
              <w:top w:w="80" w:type="dxa"/>
              <w:start w:w="120" w:type="dxa"/>
              <w:bottom w:w="80" w:type="dxa"/>
              <w:end w:w="120" w:type="dxa"/>
            </w:tcMar>
          </w:tcPr>
          <w:p>
            <w:pPr>
              <w:spacing w:after="20" w:line="252" w:lineRule="auto"/>
            </w:pPr>
            <w:r/>
            <w:r>
              <w:rPr>
                <w:rFonts w:ascii="Arial" w:hAnsi="Arial"/>
                <w:b w:val="0"/>
                <w:i w:val="0"/>
                <w:color w:val="000000"/>
                <w:sz w:val="18"/>
              </w:rPr>
              <w:t>Direct assessment prompt with retrieved report evidence</w:t>
            </w:r>
          </w:p>
        </w:tc>
        <w:tc>
          <w:tcPr>
            <w:tcW w:type="dxa" w:w="3060"/>
            <w:vAlign w:val="center"/>
            <w:tcMar>
              <w:top w:w="80" w:type="dxa"/>
              <w:start w:w="120" w:type="dxa"/>
              <w:bottom w:w="80" w:type="dxa"/>
              <w:end w:w="120" w:type="dxa"/>
            </w:tcMar>
          </w:tcPr>
          <w:p>
            <w:pPr>
              <w:spacing w:after="20" w:line="252" w:lineRule="auto"/>
            </w:pPr>
            <w:r/>
            <w:r>
              <w:rPr>
                <w:rFonts w:ascii="Arial" w:hAnsi="Arial"/>
                <w:b w:val="0"/>
                <w:i w:val="0"/>
                <w:color w:val="000000"/>
                <w:sz w:val="18"/>
              </w:rPr>
              <w:t>Baseline without demonstrations</w:t>
            </w:r>
          </w:p>
        </w:tc>
      </w:tr>
      <w:tr>
        <w:tc>
          <w:tcPr>
            <w:tcW w:type="dxa" w:w="2200"/>
            <w:vAlign w:val="center"/>
            <w:tcMar>
              <w:top w:w="80" w:type="dxa"/>
              <w:start w:w="120" w:type="dxa"/>
              <w:bottom w:w="80" w:type="dxa"/>
              <w:end w:w="120" w:type="dxa"/>
            </w:tcMar>
          </w:tcPr>
          <w:p>
            <w:pPr>
              <w:spacing w:after="20" w:line="252" w:lineRule="auto"/>
            </w:pPr>
            <w:r/>
            <w:r>
              <w:rPr>
                <w:rFonts w:ascii="Arial" w:hAnsi="Arial"/>
                <w:b w:val="0"/>
                <w:i w:val="0"/>
                <w:color w:val="000000"/>
                <w:sz w:val="18"/>
              </w:rPr>
              <w:t>fixed_few_shot</w:t>
            </w:r>
          </w:p>
        </w:tc>
        <w:tc>
          <w:tcPr>
            <w:tcW w:type="dxa" w:w="4100"/>
            <w:vAlign w:val="center"/>
            <w:tcMar>
              <w:top w:w="80" w:type="dxa"/>
              <w:start w:w="120" w:type="dxa"/>
              <w:bottom w:w="80" w:type="dxa"/>
              <w:end w:w="120" w:type="dxa"/>
            </w:tcMar>
          </w:tcPr>
          <w:p>
            <w:pPr>
              <w:spacing w:after="20" w:line="252" w:lineRule="auto"/>
            </w:pPr>
            <w:r/>
            <w:r>
              <w:rPr>
                <w:rFonts w:ascii="Arial" w:hAnsi="Arial"/>
                <w:b w:val="0"/>
                <w:i w:val="0"/>
                <w:color w:val="000000"/>
                <w:sz w:val="18"/>
              </w:rPr>
              <w:t>Fixed examples from the local example bank</w:t>
            </w:r>
          </w:p>
        </w:tc>
        <w:tc>
          <w:tcPr>
            <w:tcW w:type="dxa" w:w="3060"/>
            <w:vAlign w:val="center"/>
            <w:tcMar>
              <w:top w:w="80" w:type="dxa"/>
              <w:start w:w="120" w:type="dxa"/>
              <w:bottom w:w="80" w:type="dxa"/>
              <w:end w:w="120" w:type="dxa"/>
            </w:tcMar>
          </w:tcPr>
          <w:p>
            <w:pPr>
              <w:spacing w:after="20" w:line="252" w:lineRule="auto"/>
            </w:pPr>
            <w:r/>
            <w:r>
              <w:rPr>
                <w:rFonts w:ascii="Arial" w:hAnsi="Arial"/>
                <w:b w:val="0"/>
                <w:i w:val="0"/>
                <w:color w:val="000000"/>
                <w:sz w:val="18"/>
              </w:rPr>
              <w:t>Controls example wording/count</w:t>
            </w:r>
          </w:p>
        </w:tc>
      </w:tr>
      <w:tr>
        <w:tc>
          <w:tcPr>
            <w:tcW w:type="dxa" w:w="2200"/>
            <w:vAlign w:val="center"/>
            <w:tcMar>
              <w:top w:w="80" w:type="dxa"/>
              <w:start w:w="120" w:type="dxa"/>
              <w:bottom w:w="80" w:type="dxa"/>
              <w:end w:w="120" w:type="dxa"/>
            </w:tcMar>
          </w:tcPr>
          <w:p>
            <w:pPr>
              <w:spacing w:after="20" w:line="252" w:lineRule="auto"/>
            </w:pPr>
            <w:r/>
            <w:r>
              <w:rPr>
                <w:rFonts w:ascii="Arial" w:hAnsi="Arial"/>
                <w:b w:val="0"/>
                <w:i w:val="0"/>
                <w:color w:val="000000"/>
                <w:sz w:val="18"/>
              </w:rPr>
              <w:t>retrieval_few_shot</w:t>
            </w:r>
          </w:p>
        </w:tc>
        <w:tc>
          <w:tcPr>
            <w:tcW w:type="dxa" w:w="4100"/>
            <w:vAlign w:val="center"/>
            <w:tcMar>
              <w:top w:w="80" w:type="dxa"/>
              <w:start w:w="120" w:type="dxa"/>
              <w:bottom w:w="80" w:type="dxa"/>
              <w:end w:w="120" w:type="dxa"/>
            </w:tcMar>
          </w:tcPr>
          <w:p>
            <w:pPr>
              <w:spacing w:after="20" w:line="252" w:lineRule="auto"/>
            </w:pPr>
            <w:r/>
            <w:r>
              <w:rPr>
                <w:rFonts w:ascii="Arial" w:hAnsi="Arial"/>
                <w:b w:val="0"/>
                <w:i w:val="0"/>
                <w:color w:val="000000"/>
                <w:sz w:val="18"/>
              </w:rPr>
              <w:t>Semantically selected examples from icl_example_bank.json</w:t>
            </w:r>
          </w:p>
        </w:tc>
        <w:tc>
          <w:tcPr>
            <w:tcW w:type="dxa" w:w="3060"/>
            <w:vAlign w:val="center"/>
            <w:tcMar>
              <w:top w:w="80" w:type="dxa"/>
              <w:start w:w="120" w:type="dxa"/>
              <w:bottom w:w="80" w:type="dxa"/>
              <w:end w:w="120" w:type="dxa"/>
            </w:tcMar>
          </w:tcPr>
          <w:p>
            <w:pPr>
              <w:spacing w:after="20" w:line="252" w:lineRule="auto"/>
            </w:pPr>
            <w:r/>
            <w:r>
              <w:rPr>
                <w:rFonts w:ascii="Arial" w:hAnsi="Arial"/>
                <w:b w:val="0"/>
                <w:i w:val="0"/>
                <w:color w:val="000000"/>
                <w:sz w:val="18"/>
              </w:rPr>
              <w:t>Current default; k=4 [E4][E8]</w:t>
            </w:r>
          </w:p>
        </w:tc>
      </w:tr>
    </w:tbl>
    <w:p>
      <w:pPr>
        <w:spacing w:after="20"/>
      </w:pPr>
    </w:p>
    <w:p>
      <w:pPr>
        <w:pStyle w:val="Heading1"/>
      </w:pPr>
      <w:r>
        <w:t>Design rationale</w:t>
      </w:r>
    </w:p>
    <w:p>
      <w:pPr>
        <w:spacing w:after="120" w:line="276" w:lineRule="auto"/>
      </w:pPr>
      <w:r>
        <w:rPr>
          <w:rFonts w:ascii="Arial" w:hAnsi="Arial"/>
          <w:b w:val="0"/>
          <w:i w:val="0"/>
          <w:color w:val="000000"/>
          <w:sz w:val="21"/>
        </w:rPr>
        <w:t>Examples show the required evidence-first decision pattern: answer Yes, No or Insufficient Evidence; cite retrieved chunks; provide a short justification. The example bank is local and is never treated as audit evidence for the report under assessment. [E8]</w:t>
      </w:r>
    </w:p>
    <w:p>
      <w:pPr>
        <w:spacing w:after="120" w:line="276" w:lineRule="auto"/>
      </w:pPr>
      <w:r>
        <w:rPr>
          <w:rFonts w:ascii="Arial" w:hAnsi="Arial"/>
          <w:b w:val="0"/>
          <w:i w:val="0"/>
          <w:color w:val="000000"/>
          <w:sz w:val="21"/>
        </w:rPr>
        <w:t>Retrieval-selected examples are a sensible implementation choice because audit questions vary by control, finding and wording. Their use is not yet empirically proven superior to zero-shot or fixed examples. [E4][E8]</w:t>
      </w:r>
    </w:p>
    <w:p>
      <w:pPr>
        <w:pStyle w:val="Heading1"/>
      </w:pPr>
      <w:r>
        <w:t>Controlled comparison plan</w:t>
      </w:r>
    </w:p>
    <w:tbl>
      <w:tblPr>
        <w:tblStyle w:val="TableGrid"/>
        <w:tblW w:type="dxa" w:w="9360"/>
        <w:tblLayout w:type="fixed"/>
        <w:tblLook w:firstColumn="1" w:firstRow="1" w:lastColumn="0" w:lastRow="0" w:noHBand="0" w:noVBand="1" w:val="04A0"/>
        <w:tblInd w:w="120" w:type="dxa"/>
      </w:tblPr>
      <w:tblGrid>
        <w:gridCol w:w="1650"/>
        <w:gridCol w:w="3300"/>
        <w:gridCol w:w="2200"/>
        <w:gridCol w:w="2210"/>
      </w:tblGrid>
      <w:tr>
        <w:tc>
          <w:tcPr>
            <w:tcW w:type="dxa" w:w="1650"/>
            <w:vAlign w:val="center"/>
            <w:tcMar>
              <w:top w:w="80" w:type="dxa"/>
              <w:start w:w="120" w:type="dxa"/>
              <w:bottom w:w="80" w:type="dxa"/>
              <w:end w:w="120" w:type="dxa"/>
            </w:tcMar>
          </w:tcPr>
          <w:p>
            <w:pPr>
              <w:spacing w:after="20"/>
            </w:pPr>
            <w:r/>
            <w:r>
              <w:rPr>
                <w:rFonts w:ascii="Arial" w:hAnsi="Arial"/>
                <w:b/>
                <w:i w:val="0"/>
                <w:color w:val="000000"/>
                <w:sz w:val="18"/>
              </w:rPr>
              <w:t>Variable</w:t>
            </w:r>
          </w:p>
        </w:tc>
        <w:tc>
          <w:tcPr>
            <w:tcW w:type="dxa" w:w="3300"/>
            <w:vAlign w:val="center"/>
            <w:tcMar>
              <w:top w:w="80" w:type="dxa"/>
              <w:start w:w="120" w:type="dxa"/>
              <w:bottom w:w="80" w:type="dxa"/>
              <w:end w:w="120" w:type="dxa"/>
            </w:tcMar>
          </w:tcPr>
          <w:p>
            <w:pPr>
              <w:spacing w:after="20"/>
            </w:pPr>
            <w:r/>
            <w:r>
              <w:rPr>
                <w:rFonts w:ascii="Arial" w:hAnsi="Arial"/>
                <w:b/>
                <w:i w:val="0"/>
                <w:color w:val="000000"/>
                <w:sz w:val="18"/>
              </w:rPr>
              <w:t>Held constant</w:t>
            </w:r>
          </w:p>
        </w:tc>
        <w:tc>
          <w:tcPr>
            <w:tcW w:type="dxa" w:w="2200"/>
            <w:vAlign w:val="center"/>
            <w:tcMar>
              <w:top w:w="80" w:type="dxa"/>
              <w:start w:w="120" w:type="dxa"/>
              <w:bottom w:w="80" w:type="dxa"/>
              <w:end w:w="120" w:type="dxa"/>
            </w:tcMar>
          </w:tcPr>
          <w:p>
            <w:pPr>
              <w:spacing w:after="20"/>
            </w:pPr>
            <w:r/>
            <w:r>
              <w:rPr>
                <w:rFonts w:ascii="Arial" w:hAnsi="Arial"/>
                <w:b/>
                <w:i w:val="0"/>
                <w:color w:val="000000"/>
                <w:sz w:val="18"/>
              </w:rPr>
              <w:t>Changed</w:t>
            </w:r>
          </w:p>
        </w:tc>
        <w:tc>
          <w:tcPr>
            <w:tcW w:type="dxa" w:w="2210"/>
            <w:vAlign w:val="center"/>
            <w:tcMar>
              <w:top w:w="80" w:type="dxa"/>
              <w:start w:w="120" w:type="dxa"/>
              <w:bottom w:w="80" w:type="dxa"/>
              <w:end w:w="120" w:type="dxa"/>
            </w:tcMar>
          </w:tcPr>
          <w:p>
            <w:pPr>
              <w:spacing w:after="20"/>
            </w:pPr>
            <w:r/>
            <w:r>
              <w:rPr>
                <w:rFonts w:ascii="Arial" w:hAnsi="Arial"/>
                <w:b/>
                <w:i w:val="0"/>
                <w:color w:val="000000"/>
                <w:sz w:val="18"/>
              </w:rPr>
              <w:t>Measures</w:t>
            </w:r>
          </w:p>
        </w:tc>
      </w:tr>
      <w:tr>
        <w:tc>
          <w:tcPr>
            <w:tcW w:type="dxa" w:w="1650"/>
            <w:vAlign w:val="center"/>
            <w:tcMar>
              <w:top w:w="80" w:type="dxa"/>
              <w:start w:w="120" w:type="dxa"/>
              <w:bottom w:w="80" w:type="dxa"/>
              <w:end w:w="120" w:type="dxa"/>
            </w:tcMar>
          </w:tcPr>
          <w:p>
            <w:pPr>
              <w:spacing w:after="20" w:line="252" w:lineRule="auto"/>
            </w:pPr>
            <w:r/>
            <w:r>
              <w:rPr>
                <w:rFonts w:ascii="Arial" w:hAnsi="Arial"/>
                <w:b w:val="0"/>
                <w:i w:val="0"/>
                <w:color w:val="000000"/>
                <w:sz w:val="18"/>
              </w:rPr>
              <w:t>ICL strategy</w:t>
            </w:r>
          </w:p>
        </w:tc>
        <w:tc>
          <w:tcPr>
            <w:tcW w:type="dxa" w:w="330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Reports, labels, retrieval context, model, prompt, seed, temperature</w:t>
            </w:r>
          </w:p>
        </w:tc>
        <w:tc>
          <w:tcPr>
            <w:tcW w:type="dxa" w:w="2200"/>
            <w:vAlign w:val="center"/>
            <w:tcMar>
              <w:top w:w="80" w:type="dxa"/>
              <w:start w:w="120" w:type="dxa"/>
              <w:bottom w:w="80" w:type="dxa"/>
              <w:end w:w="120" w:type="dxa"/>
            </w:tcMar>
          </w:tcPr>
          <w:p>
            <w:pPr>
              <w:spacing w:after="20" w:line="252" w:lineRule="auto"/>
            </w:pPr>
            <w:r/>
            <w:r>
              <w:rPr>
                <w:rFonts w:ascii="Arial" w:hAnsi="Arial"/>
                <w:b w:val="0"/>
                <w:i w:val="0"/>
                <w:color w:val="000000"/>
                <w:sz w:val="18"/>
              </w:rPr>
              <w:t>zero-shot / fixed / retrieval</w:t>
            </w:r>
          </w:p>
        </w:tc>
        <w:tc>
          <w:tcPr>
            <w:tcW w:type="dxa" w:w="2210"/>
            <w:vAlign w:val="center"/>
            <w:tcMar>
              <w:top w:w="80" w:type="dxa"/>
              <w:start w:w="120" w:type="dxa"/>
              <w:bottom w:w="80" w:type="dxa"/>
              <w:end w:w="120" w:type="dxa"/>
            </w:tcMar>
          </w:tcPr>
          <w:p>
            <w:pPr>
              <w:spacing w:after="20" w:line="252" w:lineRule="auto"/>
            </w:pPr>
            <w:r/>
            <w:r>
              <w:rPr>
                <w:rFonts w:ascii="Arial" w:hAnsi="Arial"/>
                <w:b w:val="0"/>
                <w:i w:val="0"/>
                <w:color w:val="000000"/>
                <w:sz w:val="18"/>
              </w:rPr>
              <w:t>Accuracy, macro-F1, grounding, abstention safety, latency</w:t>
            </w:r>
          </w:p>
        </w:tc>
      </w:tr>
      <w:tr>
        <w:tc>
          <w:tcPr>
            <w:tcW w:type="dxa" w:w="1650"/>
            <w:vAlign w:val="center"/>
            <w:tcMar>
              <w:top w:w="80" w:type="dxa"/>
              <w:start w:w="120" w:type="dxa"/>
              <w:bottom w:w="80" w:type="dxa"/>
              <w:end w:w="120" w:type="dxa"/>
            </w:tcMar>
          </w:tcPr>
          <w:p>
            <w:pPr>
              <w:spacing w:after="20" w:line="252" w:lineRule="auto"/>
            </w:pPr>
            <w:r/>
            <w:r>
              <w:rPr>
                <w:rFonts w:ascii="Arial" w:hAnsi="Arial"/>
                <w:b w:val="0"/>
                <w:i w:val="0"/>
                <w:color w:val="000000"/>
                <w:sz w:val="18"/>
              </w:rPr>
              <w:t>Example count</w:t>
            </w:r>
          </w:p>
        </w:tc>
        <w:tc>
          <w:tcPr>
            <w:tcW w:type="dxa" w:w="3300"/>
            <w:vAlign w:val="center"/>
            <w:tcMar>
              <w:top w:w="80" w:type="dxa"/>
              <w:start w:w="120" w:type="dxa"/>
              <w:bottom w:w="80" w:type="dxa"/>
              <w:end w:w="120" w:type="dxa"/>
            </w:tcMar>
          </w:tcPr>
          <w:p>
            <w:pPr>
              <w:spacing w:after="20" w:line="252" w:lineRule="auto"/>
            </w:pPr>
            <w:r/>
            <w:r>
              <w:rPr>
                <w:rFonts w:ascii="Arial" w:hAnsi="Arial"/>
                <w:b w:val="0"/>
                <w:i w:val="0"/>
                <w:color w:val="000000"/>
                <w:sz w:val="18"/>
              </w:rPr>
              <w:t>Same selection policy and examples where applicable</w:t>
            </w:r>
          </w:p>
        </w:tc>
        <w:tc>
          <w:tcPr>
            <w:tcW w:type="dxa" w:w="2200"/>
            <w:vAlign w:val="center"/>
            <w:tcMar>
              <w:top w:w="80" w:type="dxa"/>
              <w:start w:w="120" w:type="dxa"/>
              <w:bottom w:w="80" w:type="dxa"/>
              <w:end w:w="120" w:type="dxa"/>
            </w:tcMar>
          </w:tcPr>
          <w:p>
            <w:pPr>
              <w:spacing w:after="20" w:line="252" w:lineRule="auto"/>
            </w:pPr>
            <w:r/>
            <w:r>
              <w:rPr>
                <w:rFonts w:ascii="Arial" w:hAnsi="Arial"/>
                <w:b w:val="0"/>
                <w:i w:val="0"/>
                <w:color w:val="000000"/>
                <w:sz w:val="18"/>
              </w:rPr>
              <w:t>k = 0, 1, 2, 4, 6</w:t>
            </w:r>
          </w:p>
        </w:tc>
        <w:tc>
          <w:tcPr>
            <w:tcW w:type="dxa" w:w="2210"/>
            <w:vAlign w:val="center"/>
            <w:tcMar>
              <w:top w:w="80" w:type="dxa"/>
              <w:start w:w="120" w:type="dxa"/>
              <w:bottom w:w="80" w:type="dxa"/>
              <w:end w:w="120" w:type="dxa"/>
            </w:tcMar>
          </w:tcPr>
          <w:p>
            <w:pPr>
              <w:spacing w:after="20" w:line="252" w:lineRule="auto"/>
            </w:pPr>
            <w:r/>
            <w:r>
              <w:rPr>
                <w:rFonts w:ascii="Arial" w:hAnsi="Arial"/>
                <w:b w:val="0"/>
                <w:i w:val="0"/>
                <w:color w:val="000000"/>
                <w:sz w:val="18"/>
              </w:rPr>
              <w:t>Quality change and context cost</w:t>
            </w:r>
          </w:p>
        </w:tc>
      </w:tr>
      <w:tr>
        <w:tc>
          <w:tcPr>
            <w:tcW w:type="dxa" w:w="1650"/>
            <w:vAlign w:val="center"/>
            <w:tcMar>
              <w:top w:w="80" w:type="dxa"/>
              <w:start w:w="120" w:type="dxa"/>
              <w:bottom w:w="80" w:type="dxa"/>
              <w:end w:w="120" w:type="dxa"/>
            </w:tcMar>
          </w:tcPr>
          <w:p>
            <w:pPr>
              <w:spacing w:after="20" w:line="252" w:lineRule="auto"/>
            </w:pPr>
            <w:r/>
            <w:r>
              <w:rPr>
                <w:rFonts w:ascii="Arial" w:hAnsi="Arial"/>
                <w:b w:val="0"/>
                <w:i w:val="0"/>
                <w:color w:val="000000"/>
                <w:sz w:val="18"/>
              </w:rPr>
              <w:t>Example composition</w:t>
            </w:r>
          </w:p>
        </w:tc>
        <w:tc>
          <w:tcPr>
            <w:tcW w:type="dxa" w:w="3300"/>
            <w:vAlign w:val="center"/>
            <w:tcMar>
              <w:top w:w="80" w:type="dxa"/>
              <w:start w:w="120" w:type="dxa"/>
              <w:bottom w:w="80" w:type="dxa"/>
              <w:end w:w="120" w:type="dxa"/>
            </w:tcMar>
          </w:tcPr>
          <w:p>
            <w:pPr>
              <w:spacing w:after="20" w:line="252" w:lineRule="auto"/>
            </w:pPr>
            <w:r/>
            <w:r>
              <w:rPr>
                <w:rFonts w:ascii="Arial" w:hAnsi="Arial"/>
                <w:b w:val="0"/>
                <w:i w:val="0"/>
                <w:color w:val="000000"/>
                <w:sz w:val="18"/>
              </w:rPr>
              <w:t>Question set and evaluation harness</w:t>
            </w:r>
          </w:p>
        </w:tc>
        <w:tc>
          <w:tcPr>
            <w:tcW w:type="dxa" w:w="2200"/>
            <w:vAlign w:val="center"/>
            <w:tcMar>
              <w:top w:w="80" w:type="dxa"/>
              <w:start w:w="120" w:type="dxa"/>
              <w:bottom w:w="80" w:type="dxa"/>
              <w:end w:w="120" w:type="dxa"/>
            </w:tcMar>
          </w:tcPr>
          <w:p>
            <w:pPr>
              <w:spacing w:after="20" w:line="252" w:lineRule="auto"/>
            </w:pPr>
            <w:r/>
            <w:r>
              <w:rPr>
                <w:rFonts w:ascii="Arial" w:hAnsi="Arial"/>
                <w:b w:val="0"/>
                <w:i w:val="0"/>
                <w:color w:val="000000"/>
                <w:sz w:val="18"/>
              </w:rPr>
              <w:t>Positive, negative, missing-evidence, difficult examples</w:t>
            </w:r>
          </w:p>
        </w:tc>
        <w:tc>
          <w:tcPr>
            <w:tcW w:type="dxa" w:w="2210"/>
            <w:vAlign w:val="center"/>
            <w:tcMar>
              <w:top w:w="80" w:type="dxa"/>
              <w:start w:w="120" w:type="dxa"/>
              <w:bottom w:w="80" w:type="dxa"/>
              <w:end w:w="120" w:type="dxa"/>
            </w:tcMar>
          </w:tcPr>
          <w:p>
            <w:pPr>
              <w:spacing w:after="20" w:line="252" w:lineRule="auto"/>
            </w:pPr>
            <w:r/>
            <w:r>
              <w:rPr>
                <w:rFonts w:ascii="Arial" w:hAnsi="Arial"/>
                <w:b w:val="0"/>
                <w:i w:val="0"/>
                <w:color w:val="000000"/>
                <w:sz w:val="18"/>
              </w:rPr>
              <w:t>Per-class F1 and unsafe-answer rate</w:t>
            </w:r>
          </w:p>
        </w:tc>
      </w:tr>
    </w:tbl>
    <w:p>
      <w:pPr>
        <w:spacing w:after="20"/>
      </w:pPr>
    </w:p>
    <w:p>
      <w:pPr>
        <w:pStyle w:val="Heading1"/>
      </w:pPr>
      <w:r>
        <w:t>What was tested</w:t>
      </w:r>
    </w:p>
    <w:p>
      <w:pPr>
        <w:spacing w:after="120" w:line="276" w:lineRule="auto"/>
      </w:pPr>
      <w:r>
        <w:rPr>
          <w:rFonts w:ascii="Arial" w:hAnsi="Arial"/>
          <w:b w:val="0"/>
          <w:i w:val="0"/>
          <w:color w:val="000000"/>
          <w:sz w:val="21"/>
        </w:rPr>
        <w:t>A controlled Qwen2.5-7B comparison completed on the same 16 report-question pairs: zero shot achieved 75.00% accuracy and 0.4697 macro-F1; retrieval few shot k=4 achieved 62.50% and 0.4190; fixed few shot achieved 50.00% and 0.3789. [E10]</w:t>
      </w:r>
    </w:p>
    <w:p>
      <w:pPr>
        <w:spacing w:after="120" w:line="276" w:lineRule="auto"/>
      </w:pPr>
      <w:r>
        <w:rPr>
          <w:rFonts w:ascii="Arial" w:hAnsi="Arial"/>
          <w:b w:val="0"/>
          <w:i w:val="0"/>
          <w:color w:val="000000"/>
          <w:sz w:val="21"/>
        </w:rPr>
        <w:t>The 28 August verification also passed the offline mock end-to-end path and focused parser, routing/citation, and safety-gate tests. [E7]</w:t>
      </w:r>
    </w:p>
    <w:p>
      <w:pPr>
        <w:pStyle w:val="Heading1"/>
      </w:pPr>
      <w:r>
        <w:t>Conclusion</w:t>
      </w:r>
    </w:p>
    <w:p>
      <w:pPr>
        <w:spacing w:after="120" w:line="276" w:lineRule="auto"/>
      </w:pPr>
      <w:r>
        <w:rPr>
          <w:rFonts w:ascii="Arial" w:hAnsi="Arial"/>
          <w:b w:val="0"/>
          <w:i w:val="0"/>
          <w:color w:val="000000"/>
          <w:sz w:val="21"/>
        </w:rPr>
        <w:t>Select zero shot as the strongest tested Qwen2.5 ICL condition. It must still be reconfirmed with Qwen3 before it is called the final Qwen3 ICL setting. [E10]</w:t>
      </w:r>
    </w:p>
    <w:p>
      <w:pPr>
        <w:pStyle w:val="Heading1"/>
      </w:pPr>
      <w:r>
        <w:t>Worked in-context example pattern</w:t>
      </w:r>
    </w:p>
    <w:tbl>
      <w:tblPr>
        <w:tblStyle w:val="TableGrid"/>
        <w:tblW w:type="dxa" w:w="9360"/>
        <w:tblLayout w:type="fixed"/>
        <w:tblLook w:firstColumn="1" w:firstRow="1" w:lastColumn="0" w:lastRow="0" w:noHBand="0" w:noVBand="1" w:val="04A0"/>
        <w:tblInd w:w="120" w:type="dxa"/>
      </w:tblPr>
      <w:tblGrid>
        <w:gridCol w:w="2000"/>
        <w:gridCol w:w="3100"/>
        <w:gridCol w:w="1600"/>
        <w:gridCol w:w="2660"/>
      </w:tblGrid>
      <w:tr>
        <w:tc>
          <w:tcPr>
            <w:tcW w:type="dxa" w:w="2000"/>
            <w:vAlign w:val="center"/>
            <w:tcMar>
              <w:top w:w="80" w:type="dxa"/>
              <w:start w:w="120" w:type="dxa"/>
              <w:bottom w:w="80" w:type="dxa"/>
              <w:end w:w="120" w:type="dxa"/>
            </w:tcMar>
          </w:tcPr>
          <w:p>
            <w:pPr>
              <w:spacing w:after="20"/>
            </w:pPr>
            <w:r/>
            <w:r>
              <w:rPr>
                <w:rFonts w:ascii="Arial" w:hAnsi="Arial"/>
                <w:b/>
                <w:i w:val="0"/>
                <w:color w:val="000000"/>
                <w:sz w:val="18"/>
              </w:rPr>
              <w:t>Question</w:t>
            </w:r>
          </w:p>
        </w:tc>
        <w:tc>
          <w:tcPr>
            <w:tcW w:type="dxa" w:w="3100"/>
            <w:vAlign w:val="center"/>
            <w:tcMar>
              <w:top w:w="80" w:type="dxa"/>
              <w:start w:w="120" w:type="dxa"/>
              <w:bottom w:w="80" w:type="dxa"/>
              <w:end w:w="120" w:type="dxa"/>
            </w:tcMar>
          </w:tcPr>
          <w:p>
            <w:pPr>
              <w:spacing w:after="20"/>
            </w:pPr>
            <w:r/>
            <w:r>
              <w:rPr>
                <w:rFonts w:ascii="Arial" w:hAnsi="Arial"/>
                <w:b/>
                <w:i w:val="0"/>
                <w:color w:val="000000"/>
                <w:sz w:val="18"/>
              </w:rPr>
              <w:t>Evidence</w:t>
            </w:r>
          </w:p>
        </w:tc>
        <w:tc>
          <w:tcPr>
            <w:tcW w:type="dxa" w:w="1600"/>
            <w:vAlign w:val="center"/>
            <w:tcMar>
              <w:top w:w="80" w:type="dxa"/>
              <w:start w:w="120" w:type="dxa"/>
              <w:bottom w:w="80" w:type="dxa"/>
              <w:end w:w="120" w:type="dxa"/>
            </w:tcMar>
          </w:tcPr>
          <w:p>
            <w:pPr>
              <w:spacing w:after="20"/>
            </w:pPr>
            <w:r/>
            <w:r>
              <w:rPr>
                <w:rFonts w:ascii="Arial" w:hAnsi="Arial"/>
                <w:b/>
                <w:i w:val="0"/>
                <w:color w:val="000000"/>
                <w:sz w:val="18"/>
              </w:rPr>
              <w:t>Required verdict</w:t>
            </w:r>
          </w:p>
        </w:tc>
        <w:tc>
          <w:tcPr>
            <w:tcW w:type="dxa" w:w="2660"/>
            <w:vAlign w:val="center"/>
            <w:tcMar>
              <w:top w:w="80" w:type="dxa"/>
              <w:start w:w="120" w:type="dxa"/>
              <w:bottom w:w="80" w:type="dxa"/>
              <w:end w:w="120" w:type="dxa"/>
            </w:tcMar>
          </w:tcPr>
          <w:p>
            <w:pPr>
              <w:spacing w:after="20"/>
            </w:pPr>
            <w:r/>
            <w:r>
              <w:rPr>
                <w:rFonts w:ascii="Arial" w:hAnsi="Arial"/>
                <w:b/>
                <w:i w:val="0"/>
                <w:color w:val="000000"/>
                <w:sz w:val="18"/>
              </w:rPr>
              <w:t>Why this matters</w:t>
            </w:r>
          </w:p>
        </w:tc>
      </w:tr>
      <w:tr>
        <w:tc>
          <w:tcPr>
            <w:tcW w:type="dxa" w:w="2000"/>
            <w:vAlign w:val="center"/>
            <w:tcMar>
              <w:top w:w="80" w:type="dxa"/>
              <w:start w:w="120" w:type="dxa"/>
              <w:bottom w:w="80" w:type="dxa"/>
              <w:end w:w="120" w:type="dxa"/>
            </w:tcMar>
          </w:tcPr>
          <w:p>
            <w:pPr>
              <w:spacing w:after="20" w:line="252" w:lineRule="auto"/>
            </w:pPr>
            <w:r/>
            <w:r>
              <w:rPr>
                <w:rFonts w:ascii="Arial" w:hAnsi="Arial"/>
                <w:b w:val="0"/>
                <w:i w:val="0"/>
                <w:color w:val="000000"/>
                <w:sz w:val="18"/>
              </w:rPr>
              <w:t>Are backups tested quarterly?</w:t>
            </w:r>
          </w:p>
        </w:tc>
        <w:tc>
          <w:tcPr>
            <w:tcW w:type="dxa" w:w="3100"/>
            <w:vAlign w:val="center"/>
            <w:tcMar>
              <w:top w:w="80" w:type="dxa"/>
              <w:start w:w="120" w:type="dxa"/>
              <w:bottom w:w="80" w:type="dxa"/>
              <w:end w:w="120" w:type="dxa"/>
            </w:tcMar>
          </w:tcPr>
          <w:p>
            <w:pPr>
              <w:spacing w:after="20" w:line="252" w:lineRule="auto"/>
            </w:pPr>
            <w:r/>
            <w:r>
              <w:rPr>
                <w:rFonts w:ascii="Arial" w:hAnsi="Arial"/>
                <w:b w:val="0"/>
                <w:i w:val="0"/>
                <w:color w:val="000000"/>
                <w:sz w:val="18"/>
              </w:rPr>
              <w:t>Backups complete nightly; restore testing is not mentioned.</w:t>
            </w:r>
          </w:p>
        </w:tc>
        <w:tc>
          <w:tcPr>
            <w:tcW w:type="dxa" w:w="1600"/>
            <w:vAlign w:val="center"/>
            <w:tcMar>
              <w:top w:w="80" w:type="dxa"/>
              <w:start w:w="120" w:type="dxa"/>
              <w:bottom w:w="80" w:type="dxa"/>
              <w:end w:w="120" w:type="dxa"/>
            </w:tcMar>
          </w:tcPr>
          <w:p>
            <w:pPr>
              <w:spacing w:after="20" w:line="252" w:lineRule="auto"/>
            </w:pPr>
            <w:r/>
            <w:r>
              <w:rPr>
                <w:rFonts w:ascii="Arial" w:hAnsi="Arial"/>
                <w:b w:val="0"/>
                <w:i w:val="0"/>
                <w:color w:val="000000"/>
                <w:sz w:val="18"/>
              </w:rPr>
              <w:t>Insufficient Evidence</w:t>
            </w:r>
          </w:p>
        </w:tc>
        <w:tc>
          <w:tcPr>
            <w:tcW w:type="dxa" w:w="2660"/>
            <w:vAlign w:val="center"/>
            <w:tcMar>
              <w:top w:w="80" w:type="dxa"/>
              <w:start w:w="120" w:type="dxa"/>
              <w:bottom w:w="80" w:type="dxa"/>
              <w:end w:w="120" w:type="dxa"/>
            </w:tcMar>
          </w:tcPr>
          <w:p>
            <w:pPr>
              <w:spacing w:after="20" w:line="252" w:lineRule="auto"/>
            </w:pPr>
            <w:r/>
            <w:r>
              <w:rPr>
                <w:rFonts w:ascii="Arial" w:hAnsi="Arial"/>
                <w:b w:val="0"/>
                <w:i w:val="0"/>
                <w:color w:val="000000"/>
                <w:sz w:val="18"/>
              </w:rPr>
              <w:t>Demonstrates that silence is not a Yes or No claim.</w:t>
            </w:r>
          </w:p>
        </w:tc>
      </w:tr>
      <w:tr>
        <w:tc>
          <w:tcPr>
            <w:tcW w:type="dxa" w:w="2000"/>
            <w:vAlign w:val="center"/>
            <w:tcMar>
              <w:top w:w="80" w:type="dxa"/>
              <w:start w:w="120" w:type="dxa"/>
              <w:bottom w:w="80" w:type="dxa"/>
              <w:end w:w="120" w:type="dxa"/>
            </w:tcMar>
          </w:tcPr>
          <w:p>
            <w:pPr>
              <w:spacing w:after="20" w:line="252" w:lineRule="auto"/>
            </w:pPr>
            <w:r/>
            <w:r>
              <w:rPr>
                <w:rFonts w:ascii="Arial" w:hAnsi="Arial"/>
                <w:b w:val="0"/>
                <w:i w:val="0"/>
                <w:color w:val="000000"/>
                <w:sz w:val="18"/>
              </w:rPr>
              <w:t>Is segmentation implemented?</w:t>
            </w:r>
          </w:p>
        </w:tc>
        <w:tc>
          <w:tcPr>
            <w:tcW w:type="dxa" w:w="3100"/>
            <w:vAlign w:val="center"/>
            <w:tcMar>
              <w:top w:w="80" w:type="dxa"/>
              <w:start w:w="120" w:type="dxa"/>
              <w:bottom w:w="80" w:type="dxa"/>
              <w:end w:w="120" w:type="dxa"/>
            </w:tcMar>
          </w:tcPr>
          <w:p>
            <w:pPr>
              <w:spacing w:after="20" w:line="252" w:lineRule="auto"/>
            </w:pPr>
            <w:r/>
            <w:r>
              <w:rPr>
                <w:rFonts w:ascii="Arial" w:hAnsi="Arial"/>
                <w:b w:val="0"/>
                <w:i w:val="0"/>
                <w:color w:val="000000"/>
                <w:sz w:val="18"/>
              </w:rPr>
              <w:t>Payment subnet is reachable from corporate VLAN without an ACL.</w:t>
            </w:r>
          </w:p>
        </w:tc>
        <w:tc>
          <w:tcPr>
            <w:tcW w:type="dxa" w:w="1600"/>
            <w:vAlign w:val="center"/>
            <w:tcMar>
              <w:top w:w="80" w:type="dxa"/>
              <w:start w:w="120" w:type="dxa"/>
              <w:bottom w:w="80" w:type="dxa"/>
              <w:end w:w="120" w:type="dxa"/>
            </w:tcMar>
          </w:tcPr>
          <w:p>
            <w:pPr>
              <w:spacing w:after="20" w:line="252" w:lineRule="auto"/>
            </w:pPr>
            <w:r/>
            <w:r>
              <w:rPr>
                <w:rFonts w:ascii="Arial" w:hAnsi="Arial"/>
                <w:b w:val="0"/>
                <w:i w:val="0"/>
                <w:color w:val="000000"/>
                <w:sz w:val="18"/>
              </w:rPr>
              <w:t>No</w:t>
            </w:r>
          </w:p>
        </w:tc>
        <w:tc>
          <w:tcPr>
            <w:tcW w:type="dxa" w:w="2660"/>
            <w:vAlign w:val="center"/>
            <w:tcMar>
              <w:top w:w="80" w:type="dxa"/>
              <w:start w:w="120" w:type="dxa"/>
              <w:bottom w:w="80" w:type="dxa"/>
              <w:end w:w="120" w:type="dxa"/>
            </w:tcMar>
          </w:tcPr>
          <w:p>
            <w:pPr>
              <w:spacing w:after="20" w:line="252" w:lineRule="auto"/>
            </w:pPr>
            <w:r/>
            <w:r>
              <w:rPr>
                <w:rFonts w:ascii="Arial" w:hAnsi="Arial"/>
                <w:b w:val="0"/>
                <w:i w:val="0"/>
                <w:color w:val="000000"/>
                <w:sz w:val="18"/>
              </w:rPr>
              <w:t>Demonstrates a contradiction-backed negative answer.</w:t>
            </w:r>
          </w:p>
        </w:tc>
      </w:tr>
      <w:tr>
        <w:tc>
          <w:tcPr>
            <w:tcW w:type="dxa" w:w="2000"/>
            <w:vAlign w:val="center"/>
            <w:tcMar>
              <w:top w:w="80" w:type="dxa"/>
              <w:start w:w="120" w:type="dxa"/>
              <w:bottom w:w="80" w:type="dxa"/>
              <w:end w:w="120" w:type="dxa"/>
            </w:tcMar>
          </w:tcPr>
          <w:p>
            <w:pPr>
              <w:spacing w:after="20" w:line="252" w:lineRule="auto"/>
            </w:pPr>
            <w:r/>
            <w:r>
              <w:rPr>
                <w:rFonts w:ascii="Arial" w:hAnsi="Arial"/>
                <w:b w:val="0"/>
                <w:i w:val="0"/>
                <w:color w:val="000000"/>
                <w:sz w:val="18"/>
              </w:rPr>
              <w:t>Is password rotation enforced?</w:t>
            </w:r>
          </w:p>
        </w:tc>
        <w:tc>
          <w:tcPr>
            <w:tcW w:type="dxa" w:w="3100"/>
            <w:vAlign w:val="center"/>
            <w:tcMar>
              <w:top w:w="80" w:type="dxa"/>
              <w:start w:w="120" w:type="dxa"/>
              <w:bottom w:w="80" w:type="dxa"/>
              <w:end w:w="120" w:type="dxa"/>
            </w:tcMar>
          </w:tcPr>
          <w:p>
            <w:pPr>
              <w:spacing w:after="20" w:line="252" w:lineRule="auto"/>
            </w:pPr>
            <w:r/>
            <w:r>
              <w:rPr>
                <w:rFonts w:ascii="Arial" w:hAnsi="Arial"/>
                <w:b w:val="0"/>
                <w:i w:val="0"/>
                <w:color w:val="000000"/>
                <w:sz w:val="18"/>
              </w:rPr>
              <w:t>Privileged accounts rotate every 60 days.</w:t>
            </w:r>
          </w:p>
        </w:tc>
        <w:tc>
          <w:tcPr>
            <w:tcW w:type="dxa" w:w="1600"/>
            <w:vAlign w:val="center"/>
            <w:tcMar>
              <w:top w:w="80" w:type="dxa"/>
              <w:start w:w="120" w:type="dxa"/>
              <w:bottom w:w="80" w:type="dxa"/>
              <w:end w:w="120" w:type="dxa"/>
            </w:tcMar>
          </w:tcPr>
          <w:p>
            <w:pPr>
              <w:spacing w:after="20" w:line="252" w:lineRule="auto"/>
            </w:pPr>
            <w:r/>
            <w:r>
              <w:rPr>
                <w:rFonts w:ascii="Arial" w:hAnsi="Arial"/>
                <w:b w:val="0"/>
                <w:i w:val="0"/>
                <w:color w:val="000000"/>
                <w:sz w:val="18"/>
              </w:rPr>
              <w:t>Yes</w:t>
            </w:r>
          </w:p>
        </w:tc>
        <w:tc>
          <w:tcPr>
            <w:tcW w:type="dxa" w:w="2660"/>
            <w:vAlign w:val="center"/>
            <w:tcMar>
              <w:top w:w="80" w:type="dxa"/>
              <w:start w:w="120" w:type="dxa"/>
              <w:bottom w:w="80" w:type="dxa"/>
              <w:end w:w="120" w:type="dxa"/>
            </w:tcMar>
          </w:tcPr>
          <w:p>
            <w:pPr>
              <w:spacing w:after="20" w:line="252" w:lineRule="auto"/>
            </w:pPr>
            <w:r/>
            <w:r>
              <w:rPr>
                <w:rFonts w:ascii="Arial" w:hAnsi="Arial"/>
                <w:b w:val="0"/>
                <w:i w:val="0"/>
                <w:color w:val="000000"/>
                <w:sz w:val="18"/>
              </w:rPr>
              <w:t>Demonstrates threshold-based evidence use.</w:t>
            </w:r>
          </w:p>
        </w:tc>
      </w:tr>
    </w:tbl>
    <w:p>
      <w:pPr>
        <w:spacing w:after="20"/>
      </w:pPr>
    </w:p>
    <w:p>
      <w:pPr>
        <w:pStyle w:val="Heading1"/>
      </w:pPr>
      <w:r>
        <w:t>Review conclusion</w:t>
      </w:r>
    </w:p>
    <w:p>
      <w:pPr>
        <w:spacing w:after="120" w:line="276" w:lineRule="auto"/>
      </w:pPr>
      <w:r>
        <w:rPr>
          <w:rFonts w:ascii="Arial" w:hAnsi="Arial"/>
          <w:b w:val="0"/>
          <w:i w:val="0"/>
          <w:color w:val="000000"/>
          <w:sz w:val="21"/>
        </w:rPr>
        <w:t>The example bank defines output behaviour; it must never be mistaken for evidence about the report being assessed. The worked patterns cover affirmative, negative and missing-evidence cases so the model sees the required answer format without being given facts from the target audit report. [E8]</w:t>
      </w:r>
    </w:p>
    <w:p>
      <w:pPr>
        <w:spacing w:after="120" w:line="276" w:lineRule="auto"/>
      </w:pPr>
      <w:r>
        <w:rPr>
          <w:rFonts w:ascii="Arial" w:hAnsi="Arial"/>
          <w:b w:val="0"/>
          <w:i w:val="0"/>
          <w:color w:val="000000"/>
          <w:sz w:val="21"/>
        </w:rPr>
        <w:t>On the frozen Qwen2.5 control, adding the present examples did not improve accuracy: zero shot 75.00%, retrieval few shot 62.50%, fixed few shot 50.00%. The defensible decision is to retain zero shot as the tested control winner and label Qwen3 ICL selection as a required follow-up, not as an assumed transfer. [E10]</w:t>
      </w:r>
    </w:p>
    <w:p>
      <w:pPr>
        <w:pStyle w:val="Heading1"/>
      </w:pPr>
      <w:r>
        <w:t>Implementation and retest requirement</w:t>
      </w:r>
    </w:p>
    <w:p>
      <w:pPr>
        <w:spacing w:after="120" w:line="276" w:lineRule="auto"/>
      </w:pPr>
      <w:r>
        <w:rPr>
          <w:rFonts w:ascii="Arial" w:hAnsi="Arial"/>
          <w:b w:val="0"/>
          <w:i w:val="0"/>
          <w:color w:val="000000"/>
          <w:sz w:val="21"/>
        </w:rPr>
        <w:t>Three ICL strategies are implemented in icl.py. Zero shot returns no demonstrations; fixed few shot chooses a class-diverse local set; retrieval few shot embeds the local question bank and selects the nearest four examples for the incoming benchmark question. The prompt builder inserts demonstrations before the report evidence and clearly separates the two. [E8]</w:t>
      </w:r>
    </w:p>
    <w:p>
      <w:pPr>
        <w:spacing w:after="120" w:line="276" w:lineRule="auto"/>
      </w:pPr>
      <w:r>
        <w:rPr>
          <w:rFonts w:ascii="Arial" w:hAnsi="Arial"/>
          <w:b w:val="0"/>
          <w:i w:val="0"/>
          <w:color w:val="000000"/>
          <w:sz w:val="21"/>
        </w:rPr>
        <w:t>That separation matters operationally. An example may teach the model how to answer a segmentation question, but it cannot prove that the target report has segmentation. The final verdict must always cite chunks retrieved from the target report, and the citation validator rejects IDs outside that returned context. [E7][E8]</w:t>
      </w:r>
    </w:p>
    <w:p>
      <w:pPr>
        <w:spacing w:after="120" w:line="276" w:lineRule="auto"/>
      </w:pPr>
      <w:r>
        <w:rPr>
          <w:rFonts w:ascii="Arial" w:hAnsi="Arial"/>
          <w:b w:val="0"/>
          <w:i w:val="0"/>
          <w:color w:val="000000"/>
          <w:sz w:val="21"/>
        </w:rPr>
        <w:t>The next controlled run should repeat zero-shot and retrieval-few-shot settings with Qwen3-8B, hold retrieval/prompt/seed fixed, and add independent No and Insufficient Evidence cases. Only then can ICL be selected for the final Qwen3 configuration rather than inherited from the current implementation. [E10]</w:t>
      </w:r>
    </w:p>
    <w:p>
      <w:pPr>
        <w:pStyle w:val="Heading1"/>
      </w:pPr>
      <w:r>
        <w:t>Repository evidence cited</w:t>
      </w:r>
    </w:p>
    <w:p>
      <w:pPr>
        <w:pStyle w:val="ListBullet"/>
        <w:spacing w:after="60" w:line="264" w:lineRule="auto"/>
      </w:pPr>
      <w:r>
        <w:rPr>
          <w:rFonts w:ascii="Arial" w:hAnsi="Arial"/>
          <w:b w:val="0"/>
          <w:i w:val="0"/>
          <w:color w:val="000000"/>
          <w:sz w:val="20"/>
        </w:rPr>
        <w:t>[E7] Verification executed 28 August 2026: python -m unittest test_json_parser.py test_adaptive_rag.py test_security_gates.py (6 tests passed) and python test_harness_mock.py (offline mock end-to-end passed).</w:t>
      </w:r>
    </w:p>
    <w:p>
      <w:pPr>
        <w:pStyle w:val="ListBullet"/>
        <w:spacing w:after="60" w:line="264" w:lineRule="auto"/>
      </w:pPr>
      <w:r>
        <w:rPr>
          <w:rFonts w:ascii="Arial" w:hAnsi="Arial"/>
          <w:b w:val="0"/>
          <w:i w:val="0"/>
          <w:color w:val="000000"/>
          <w:sz w:val="20"/>
        </w:rPr>
        <w:t>[E8] src/{docling_parser.py,chunking.py,embed_index.py,pipeline.py,evaluation_harness.py,adaptive_rag.py,prompts.py,icl.py}: implementation inspection.</w:t>
      </w:r>
    </w:p>
    <w:p>
      <w:pPr>
        <w:pStyle w:val="ListBullet"/>
        <w:spacing w:after="60" w:line="264" w:lineRule="auto"/>
      </w:pPr>
      <w:r>
        <w:rPr>
          <w:rFonts w:ascii="Arial" w:hAnsi="Arial"/>
          <w:b w:val="0"/>
          <w:i w:val="0"/>
          <w:color w:val="000000"/>
          <w:sz w:val="20"/>
        </w:rPr>
        <w:t>[E10] results/final_validation/VALIDATION_SUMMARY.md and its cited run directories: controlled local LLM, ICL, prompt, retrieval, CRAG, chunking and chunk-parameter comparisons completed 28 August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000000"/>
        <w:sz w:val="17"/>
      </w:rPr>
      <w:t>D03 Zero Shot and ICL 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i w:val="0"/>
        <w:color w:val="000000"/>
        <w:sz w:val="17"/>
      </w:rPr>
      <w:t>Objective 3 | AI-Based Cyber Security Audit Assessment Against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6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line="264"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