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000000"/>
          <w:sz w:val="44"/>
        </w:rPr>
        <w:t>D4. Document Preprocessing, Chunking and Retrieval Index</w:t>
      </w:r>
    </w:p>
    <w:p>
      <w:pPr>
        <w:spacing w:after="280"/>
      </w:pPr>
      <w:r>
        <w:rPr>
          <w:rFonts w:ascii="Arial" w:hAnsi="Arial"/>
          <w:b w:val="0"/>
          <w:i/>
          <w:color w:val="000000"/>
          <w:sz w:val="22"/>
        </w:rPr>
        <w:t>Implementation report for retrieval over historical cybersecurity audit reports.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Development of AI-Based Cyber Security Audit Assessment Against Benchmark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Scope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Objective 3; secure local/air-gapped RAG proof of concept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Report date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 August 2026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Evidence rule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Implemented, tested and untested claims are labelled separately.</w:t>
            </w:r>
          </w:p>
        </w:tc>
      </w:tr>
    </w:tbl>
    <w:p>
      <w:pPr>
        <w:spacing w:after="20"/>
      </w:pPr>
    </w:p>
    <w:p>
      <w:pPr>
        <w:pStyle w:val="Heading1"/>
      </w:pPr>
      <w:r>
        <w:t>Data-to-evidence architecture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retrieval layer begins with evidence preservation, not embeddings. The JSON parser flattens nested findings while retaining field paths and report identity, so a chunk can be linked back to the report structure used by an auditor. Image and figure fields are deliberately excluded because this submission does not claim visual understanding. [E6][E8]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index combines dense vectors for semantic paraphrase with BM25 for exact security vocabulary. This is a strong fit for audit reports, where a question may use general language while the underlying report contains exact values such as CWE identifiers, severity labels, dates or remediation status. [E8][E9]</w:t>
      </w:r>
    </w:p>
    <w:p>
      <w:pPr>
        <w:pStyle w:val="Heading1"/>
      </w:pPr>
      <w:r>
        <w:t>Chunking investigation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1100"/>
        <w:gridCol w:w="1100"/>
        <w:gridCol w:w="4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Chunks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Accuracy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Macro-F1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Fixed 240 / overlap 30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62.50%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0.4190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More fragments; no accuracy gain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Fixed 420 / overlap 60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75.00%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0.5253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Best tested Qwen2.5 setting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Fixed 600 / overlap 90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62.50%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0.4889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Larger context; parse/review issues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Contextual 420 / overlap 60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37.50%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0.3294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selected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Implemented processing path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Input reports are parsed to provenance-labelled text. Recursive JSON objects and lists are flattened while retaining field paths; duplicate leaf rows are removed; keys containing image or figure are intentionally excluded from this text-only scope. [E8]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Chunks have stable identifiers and source context. The retrieval path combines dense FAISS search and BM25, fuses rankings, and can apply a reranker before the prompt receives final evidence. [E8]</w:t>
      </w:r>
    </w:p>
    <w:p>
      <w:pPr>
        <w:pStyle w:val="Heading1"/>
      </w:pPr>
      <w:r>
        <w:t>Configuration used in the two-report run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80"/>
        <w:gridCol w:w="368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Observed configuration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Reason / boundary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Inputs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2-report.json and 4-report.json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source reports; intermediate Markdown was not indexed [E4][E6]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Chunking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structure_aware; max 420 tokens; overlap 60; minimum 80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 chunks from two reports [E4]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Embedding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Qwen3-Embedding-0.6B; CUDA:0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GPU retrieval while generation uses local Qwen3-8B [E4]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Retrieval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hybrid; top_k=8; candidates_k=60; parent-child and graph enabled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isolated ablation for parent-child/graph [E4]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Reranking/verification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reranker and local claim verifier disabled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 GB RTX 4050 resource trade-off [E4]</w:t>
            </w:r>
          </w:p>
        </w:tc>
      </w:tr>
    </w:tbl>
    <w:p>
      <w:pPr>
        <w:spacing w:after="20"/>
      </w:pPr>
    </w:p>
    <w:p>
      <w:pPr>
        <w:pStyle w:val="Heading1"/>
      </w:pPr>
      <w:r>
        <w:t>Routing and evidence controls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adaptive route identifies exact, local and aggregate question modes. Citation IDs must belong to retrieved evidence before a response is considered grounded. Prompt-injection-like report text is detected as untrusted source content. [E7][E8]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Late interaction and visual retrieval integration points exist but their model weights and visual evaluation have not been completed; neither is claimed as operational evidence. [E8]</w:t>
      </w:r>
    </w:p>
    <w:p>
      <w:pPr>
        <w:pStyle w:val="Heading1"/>
      </w:pPr>
      <w:r>
        <w:t>Verification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JSON-path preservation and image-context exclusion passed a focused unit test. The offline mock test passed document parsing, chunking, hybrid indexing and metric generation without model downloads. [E7]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two-report logged run completed its 16 questions with n_errors=0 and recorded its exact configuration. [E4]</w:t>
      </w:r>
    </w:p>
    <w:p>
      <w:pPr>
        <w:pStyle w:val="Heading1"/>
      </w:pPr>
      <w:r>
        <w:t>Conclusion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retrieval index is functional for supplied text/JSON evidence. It is not yet validated for scanned PDFs, screenshots, tables requiring visual reasoning, multilingual reports, or unseen agencies.</w:t>
      </w:r>
    </w:p>
    <w:p>
      <w:pPr>
        <w:pStyle w:val="Heading1"/>
      </w:pPr>
      <w:r>
        <w:t>Evidence lineage reviewed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300"/>
        <w:gridCol w:w="5010"/>
      </w:tblGrid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Stage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Concrete output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Reviewer check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Input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2-report.json and 4-report.json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Only supplied JSON reports were indexed; intermediate Markdown was excluded.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Provenance-labelled paths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Nested fields remain attributable to report structure; image/figure keys excluded.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Chunk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 structure-aware chunks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IDs are retained in run configuration and question-level records.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Retrieve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Top-8 hybrid evidence candidates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Returned IDs/scores are available for every question.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Generate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Schema-bound response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Cited IDs must be in the retrieved set. [E4][E5]</w:t>
            </w:r>
          </w:p>
        </w:tc>
      </w:tr>
    </w:tbl>
    <w:p>
      <w:pPr>
        <w:spacing w:after="20"/>
      </w:pPr>
    </w:p>
    <w:p>
      <w:pPr>
        <w:pStyle w:val="Heading1"/>
      </w:pPr>
      <w:r>
        <w:t>Configuration decision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real-report pipeline uses a structure-aware 420-token/60-token overlap configuration because audit evidence is naturally organised as nested findings and recommendations. That arrangement preserves report context while allowing question-level provenance. [E4][E8]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The separate fixed-window experiment is valuable, not contradictory: 420/60 fixed chunks achieved 75.00% answer accuracy on the Qwen2.5 control, versus 62.50% for structure-aware chunks. It is not automatically substituted into the Qwen3 run because the existing gold evidence IDs are tied to structure-aware boundaries; changing them without re-authoring labels would corrupt the retrieval comparison. [E10]</w:t>
      </w:r>
    </w:p>
    <w:p>
      <w:pPr>
        <w:pStyle w:val="Heading1"/>
      </w:pPr>
      <w:r>
        <w:t>Repository evidence cited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[E4] results/production_real_reports/1787846335_de0ded86a7db/run_config.json and run.log: two-report production-parser run configuration and execution log.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[E6] sample_data/{2-report.json,4-report.json,real_reports_benchmark_questions.json}: source reports and eight source-derived questions per report.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[E7] Verification executed 28 August 2026: python -m unittest test_json_parser.py test_adaptive_rag.py test_security_gates.py (6 tests passed) and python test_harness_mock.py (offline mock end-to-end passed).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[E8] src/{docling_parser.py,chunking.py,embed_index.py,pipeline.py,evaluation_harness.py,adaptive_rag.py,prompts.py,icl.py}: implementation inspection.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0"/>
        </w:rPr>
        <w:t>[E10] results/final_validation/VALIDATION_SUMMARY.md and its cited run directories: controlled local LLM, ICL, prompt, retrieval, CRAG, chunking and chunk-parameter comparisons completed 28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7"/>
      </w:rPr>
      <w:t>D04 Preprocessing Chunking and Retrieval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000000"/>
        <w:sz w:val="17"/>
      </w:rPr>
      <w:t>Objective 3 | AI-Based Cyber Security Audit Assessment Against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