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44"/>
        </w:rPr>
        <w:t>D5. Retrieval Evaluation and Case Analysis</w:t>
      </w:r>
    </w:p>
    <w:p>
      <w:pPr>
        <w:spacing w:after="280"/>
      </w:pPr>
      <w:r>
        <w:rPr>
          <w:rFonts w:ascii="Arial" w:hAnsi="Arial"/>
          <w:b w:val="0"/>
          <w:i/>
          <w:color w:val="000000"/>
          <w:sz w:val="22"/>
        </w:rPr>
        <w:t>Measured retrieval quality with representative successes, failures and limitations.</w:t>
      </w:r>
    </w:p>
    <w:tbl>
      <w:tblPr>
        <w:tblStyle w:val="TableGrid"/>
        <w:tblW w:type="dxa" w:w="9360"/>
        <w:tblLayout w:type="fixed"/>
        <w:tblLook w:firstColumn="1" w:firstRow="1" w:lastColumn="0" w:lastRow="0" w:noHBand="0" w:noVBand="1" w:val="04A0"/>
        <w:tblInd w:w="120" w:type="dxa"/>
      </w:tblPr>
      <w:tblGrid>
        <w:gridCol w:w="1850"/>
        <w:gridCol w:w="751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Field</w:t>
            </w:r>
          </w:p>
        </w:tc>
        <w:tc>
          <w:tcPr>
            <w:tcW w:type="dxa" w:w="7510"/>
            <w:vAlign w:val="center"/>
            <w:tcMar>
              <w:top w:w="80" w:type="dxa"/>
              <w:start w:w="120" w:type="dxa"/>
              <w:bottom w:w="80" w:type="dxa"/>
              <w:end w:w="120" w:type="dxa"/>
            </w:tcMar>
          </w:tcPr>
          <w:p>
            <w:pPr>
              <w:spacing w:after="20"/>
            </w:pPr>
            <w:r/>
            <w:r>
              <w:rPr>
                <w:rFonts w:ascii="Arial" w:hAnsi="Arial"/>
                <w:b/>
                <w:i w:val="0"/>
                <w:color w:val="000000"/>
                <w:sz w:val="18"/>
              </w:rPr>
              <w:t>Value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Project</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Development of AI-Based Cyber Security Audit Assessment Against Benchmark</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Scope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Objective 3; secure local/air-gapped RAG proof of concept</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 date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28 August 2026</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rule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tested and untested claims are labelled separately.</w:t>
            </w:r>
          </w:p>
        </w:tc>
      </w:tr>
    </w:tbl>
    <w:p>
      <w:pPr>
        <w:spacing w:after="20"/>
      </w:pPr>
    </w:p>
    <w:p>
      <w:pPr>
        <w:pStyle w:val="Heading1"/>
      </w:pPr>
      <w:r>
        <w:t>Retrieval ablation result</w:t>
      </w:r>
    </w:p>
    <w:tbl>
      <w:tblPr>
        <w:tblStyle w:val="TableGrid"/>
        <w:tblW w:type="dxa" w:w="9360"/>
        <w:tblLayout w:type="fixed"/>
        <w:tblLook w:firstColumn="1" w:firstRow="1" w:lastColumn="0" w:lastRow="0" w:noHBand="0" w:noVBand="1" w:val="04A0"/>
        <w:tblInd w:w="120" w:type="dxa"/>
      </w:tblPr>
      <w:tblGrid>
        <w:gridCol w:w="1850"/>
        <w:gridCol w:w="1000"/>
        <w:gridCol w:w="1100"/>
        <w:gridCol w:w="1000"/>
        <w:gridCol w:w="900"/>
        <w:gridCol w:w="351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Retrieval setup</w:t>
            </w:r>
          </w:p>
        </w:tc>
        <w:tc>
          <w:tcPr>
            <w:tcW w:type="dxa" w:w="1000"/>
            <w:vAlign w:val="center"/>
            <w:tcMar>
              <w:top w:w="80" w:type="dxa"/>
              <w:start w:w="120" w:type="dxa"/>
              <w:bottom w:w="80" w:type="dxa"/>
              <w:end w:w="120" w:type="dxa"/>
            </w:tcMar>
          </w:tcPr>
          <w:p>
            <w:pPr>
              <w:spacing w:after="20"/>
            </w:pPr>
            <w:r/>
            <w:r>
              <w:rPr>
                <w:rFonts w:ascii="Arial" w:hAnsi="Arial"/>
                <w:b/>
                <w:i w:val="0"/>
                <w:color w:val="000000"/>
                <w:sz w:val="18"/>
              </w:rPr>
              <w:t>Accuracy</w:t>
            </w:r>
          </w:p>
        </w:tc>
        <w:tc>
          <w:tcPr>
            <w:tcW w:type="dxa" w:w="1100"/>
            <w:vAlign w:val="center"/>
            <w:tcMar>
              <w:top w:w="80" w:type="dxa"/>
              <w:start w:w="120" w:type="dxa"/>
              <w:bottom w:w="80" w:type="dxa"/>
              <w:end w:w="120" w:type="dxa"/>
            </w:tcMar>
          </w:tcPr>
          <w:p>
            <w:pPr>
              <w:spacing w:after="20"/>
            </w:pPr>
            <w:r/>
            <w:r>
              <w:rPr>
                <w:rFonts w:ascii="Arial" w:hAnsi="Arial"/>
                <w:b/>
                <w:i w:val="0"/>
                <w:color w:val="000000"/>
                <w:sz w:val="18"/>
              </w:rPr>
              <w:t>Grounding</w:t>
            </w:r>
          </w:p>
        </w:tc>
        <w:tc>
          <w:tcPr>
            <w:tcW w:type="dxa" w:w="1000"/>
            <w:vAlign w:val="center"/>
            <w:tcMar>
              <w:top w:w="80" w:type="dxa"/>
              <w:start w:w="120" w:type="dxa"/>
              <w:bottom w:w="80" w:type="dxa"/>
              <w:end w:w="120" w:type="dxa"/>
            </w:tcMar>
          </w:tcPr>
          <w:p>
            <w:pPr>
              <w:spacing w:after="20"/>
            </w:pPr>
            <w:r/>
            <w:r>
              <w:rPr>
                <w:rFonts w:ascii="Arial" w:hAnsi="Arial"/>
                <w:b/>
                <w:i w:val="0"/>
                <w:color w:val="000000"/>
                <w:sz w:val="18"/>
              </w:rPr>
              <w:t>Recall@8</w:t>
            </w:r>
          </w:p>
        </w:tc>
        <w:tc>
          <w:tcPr>
            <w:tcW w:type="dxa" w:w="900"/>
            <w:vAlign w:val="center"/>
            <w:tcMar>
              <w:top w:w="80" w:type="dxa"/>
              <w:start w:w="120" w:type="dxa"/>
              <w:bottom w:w="80" w:type="dxa"/>
              <w:end w:w="120" w:type="dxa"/>
            </w:tcMar>
          </w:tcPr>
          <w:p>
            <w:pPr>
              <w:spacing w:after="20"/>
            </w:pPr>
            <w:r/>
            <w:r>
              <w:rPr>
                <w:rFonts w:ascii="Arial" w:hAnsi="Arial"/>
                <w:b/>
                <w:i w:val="0"/>
                <w:color w:val="000000"/>
                <w:sz w:val="18"/>
              </w:rPr>
              <w:t>MRR</w:t>
            </w:r>
          </w:p>
        </w:tc>
        <w:tc>
          <w:tcPr>
            <w:tcW w:type="dxa" w:w="3510"/>
            <w:vAlign w:val="center"/>
            <w:tcMar>
              <w:top w:w="80" w:type="dxa"/>
              <w:start w:w="120" w:type="dxa"/>
              <w:bottom w:w="80" w:type="dxa"/>
              <w:end w:w="120" w:type="dxa"/>
            </w:tcMar>
          </w:tcPr>
          <w:p>
            <w:pPr>
              <w:spacing w:after="20"/>
            </w:pPr>
            <w:r/>
            <w:r>
              <w:rPr>
                <w:rFonts w:ascii="Arial" w:hAnsi="Arial"/>
                <w:b/>
                <w:i w:val="0"/>
                <w:color w:val="000000"/>
                <w:sz w:val="18"/>
              </w:rPr>
              <w:t>Reading</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Dense-only</w:t>
            </w:r>
          </w:p>
        </w:tc>
        <w:tc>
          <w:tcPr>
            <w:tcW w:type="dxa" w:w="1000"/>
            <w:vAlign w:val="center"/>
            <w:tcMar>
              <w:top w:w="80" w:type="dxa"/>
              <w:start w:w="120" w:type="dxa"/>
              <w:bottom w:w="80" w:type="dxa"/>
              <w:end w:w="120" w:type="dxa"/>
            </w:tcMar>
          </w:tcPr>
          <w:p>
            <w:pPr>
              <w:spacing w:after="20" w:line="252" w:lineRule="auto"/>
            </w:pPr>
            <w:r/>
            <w:r>
              <w:rPr>
                <w:rFonts w:ascii="Arial" w:hAnsi="Arial"/>
                <w:b w:val="0"/>
                <w:i w:val="0"/>
                <w:color w:val="000000"/>
                <w:sz w:val="18"/>
              </w:rPr>
              <w:t>50.00%</w:t>
            </w:r>
          </w:p>
        </w:tc>
        <w:tc>
          <w:tcPr>
            <w:tcW w:type="dxa" w:w="1100"/>
            <w:vAlign w:val="center"/>
            <w:tcMar>
              <w:top w:w="80" w:type="dxa"/>
              <w:start w:w="120" w:type="dxa"/>
              <w:bottom w:w="80" w:type="dxa"/>
              <w:end w:w="120" w:type="dxa"/>
            </w:tcMar>
          </w:tcPr>
          <w:p>
            <w:pPr>
              <w:spacing w:after="20" w:line="252" w:lineRule="auto"/>
            </w:pPr>
            <w:r/>
            <w:r>
              <w:rPr>
                <w:rFonts w:ascii="Arial" w:hAnsi="Arial"/>
                <w:b w:val="0"/>
                <w:i w:val="0"/>
                <w:color w:val="000000"/>
                <w:sz w:val="18"/>
              </w:rPr>
              <w:t>87.50%</w:t>
            </w:r>
          </w:p>
        </w:tc>
        <w:tc>
          <w:tcPr>
            <w:tcW w:type="dxa" w:w="1000"/>
            <w:vAlign w:val="center"/>
            <w:tcMar>
              <w:top w:w="80" w:type="dxa"/>
              <w:start w:w="120" w:type="dxa"/>
              <w:bottom w:w="80" w:type="dxa"/>
              <w:end w:w="120" w:type="dxa"/>
            </w:tcMar>
          </w:tcPr>
          <w:p>
            <w:pPr>
              <w:spacing w:after="20" w:line="252" w:lineRule="auto"/>
            </w:pPr>
            <w:r/>
            <w:r>
              <w:rPr>
                <w:rFonts w:ascii="Arial" w:hAnsi="Arial"/>
                <w:b w:val="0"/>
                <w:i w:val="0"/>
                <w:color w:val="000000"/>
                <w:sz w:val="18"/>
              </w:rPr>
              <w:t>87.50%</w:t>
            </w:r>
          </w:p>
        </w:tc>
        <w:tc>
          <w:tcPr>
            <w:tcW w:type="dxa" w:w="900"/>
            <w:vAlign w:val="center"/>
            <w:tcMar>
              <w:top w:w="80" w:type="dxa"/>
              <w:start w:w="120" w:type="dxa"/>
              <w:bottom w:w="80" w:type="dxa"/>
              <w:end w:w="120" w:type="dxa"/>
            </w:tcMar>
          </w:tcPr>
          <w:p>
            <w:pPr>
              <w:spacing w:after="20" w:line="252" w:lineRule="auto"/>
            </w:pPr>
            <w:r/>
            <w:r>
              <w:rPr>
                <w:rFonts w:ascii="Arial" w:hAnsi="Arial"/>
                <w:b w:val="0"/>
                <w:i w:val="0"/>
                <w:color w:val="000000"/>
                <w:sz w:val="18"/>
              </w:rPr>
              <w:t>0.3693</w:t>
            </w:r>
          </w:p>
        </w:tc>
        <w:tc>
          <w:tcPr>
            <w:tcW w:type="dxa" w:w="3510"/>
            <w:vAlign w:val="center"/>
            <w:tcMar>
              <w:top w:w="80" w:type="dxa"/>
              <w:start w:w="120" w:type="dxa"/>
              <w:bottom w:w="80" w:type="dxa"/>
              <w:end w:w="120" w:type="dxa"/>
            </w:tcMar>
          </w:tcPr>
          <w:p>
            <w:pPr>
              <w:spacing w:after="20" w:line="252" w:lineRule="auto"/>
            </w:pPr>
            <w:r/>
            <w:r>
              <w:rPr>
                <w:rFonts w:ascii="Arial" w:hAnsi="Arial"/>
                <w:b w:val="0"/>
                <w:i w:val="0"/>
                <w:color w:val="000000"/>
                <w:sz w:val="18"/>
              </w:rPr>
              <w:t>Ranks labelled chunks better but lower answer quality</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Hybrid dense + BM25</w:t>
            </w:r>
          </w:p>
        </w:tc>
        <w:tc>
          <w:tcPr>
            <w:tcW w:type="dxa" w:w="1000"/>
            <w:vAlign w:val="center"/>
            <w:tcMar>
              <w:top w:w="80" w:type="dxa"/>
              <w:start w:w="120" w:type="dxa"/>
              <w:bottom w:w="80" w:type="dxa"/>
              <w:end w:w="120" w:type="dxa"/>
            </w:tcMar>
          </w:tcPr>
          <w:p>
            <w:pPr>
              <w:spacing w:after="20" w:line="252" w:lineRule="auto"/>
            </w:pPr>
            <w:r/>
            <w:r>
              <w:rPr>
                <w:rFonts w:ascii="Arial" w:hAnsi="Arial"/>
                <w:b w:val="0"/>
                <w:i w:val="0"/>
                <w:color w:val="000000"/>
                <w:sz w:val="18"/>
              </w:rPr>
              <w:t>62.50%</w:t>
            </w:r>
          </w:p>
        </w:tc>
        <w:tc>
          <w:tcPr>
            <w:tcW w:type="dxa" w:w="1100"/>
            <w:vAlign w:val="center"/>
            <w:tcMar>
              <w:top w:w="80" w:type="dxa"/>
              <w:start w:w="120" w:type="dxa"/>
              <w:bottom w:w="80" w:type="dxa"/>
              <w:end w:w="120" w:type="dxa"/>
            </w:tcMar>
          </w:tcPr>
          <w:p>
            <w:pPr>
              <w:spacing w:after="20" w:line="252" w:lineRule="auto"/>
            </w:pPr>
            <w:r/>
            <w:r>
              <w:rPr>
                <w:rFonts w:ascii="Arial" w:hAnsi="Arial"/>
                <w:b w:val="0"/>
                <w:i w:val="0"/>
                <w:color w:val="000000"/>
                <w:sz w:val="18"/>
              </w:rPr>
              <w:t>100.00%</w:t>
            </w:r>
          </w:p>
        </w:tc>
        <w:tc>
          <w:tcPr>
            <w:tcW w:type="dxa" w:w="1000"/>
            <w:vAlign w:val="center"/>
            <w:tcMar>
              <w:top w:w="80" w:type="dxa"/>
              <w:start w:w="120" w:type="dxa"/>
              <w:bottom w:w="80" w:type="dxa"/>
              <w:end w:w="120" w:type="dxa"/>
            </w:tcMar>
          </w:tcPr>
          <w:p>
            <w:pPr>
              <w:spacing w:after="20" w:line="252" w:lineRule="auto"/>
            </w:pPr>
            <w:r/>
            <w:r>
              <w:rPr>
                <w:rFonts w:ascii="Arial" w:hAnsi="Arial"/>
                <w:b w:val="0"/>
                <w:i w:val="0"/>
                <w:color w:val="000000"/>
                <w:sz w:val="18"/>
              </w:rPr>
              <w:t>87.50%</w:t>
            </w:r>
          </w:p>
        </w:tc>
        <w:tc>
          <w:tcPr>
            <w:tcW w:type="dxa" w:w="900"/>
            <w:vAlign w:val="center"/>
            <w:tcMar>
              <w:top w:w="80" w:type="dxa"/>
              <w:start w:w="120" w:type="dxa"/>
              <w:bottom w:w="80" w:type="dxa"/>
              <w:end w:w="120" w:type="dxa"/>
            </w:tcMar>
          </w:tcPr>
          <w:p>
            <w:pPr>
              <w:spacing w:after="20" w:line="252" w:lineRule="auto"/>
            </w:pPr>
            <w:r/>
            <w:r>
              <w:rPr>
                <w:rFonts w:ascii="Arial" w:hAnsi="Arial"/>
                <w:b w:val="0"/>
                <w:i w:val="0"/>
                <w:color w:val="000000"/>
                <w:sz w:val="18"/>
              </w:rPr>
              <w:t>0.2781</w:t>
            </w:r>
          </w:p>
        </w:tc>
        <w:tc>
          <w:tcPr>
            <w:tcW w:type="dxa" w:w="3510"/>
            <w:vAlign w:val="center"/>
            <w:tcMar>
              <w:top w:w="80" w:type="dxa"/>
              <w:start w:w="120" w:type="dxa"/>
              <w:bottom w:w="80" w:type="dxa"/>
              <w:end w:w="120" w:type="dxa"/>
            </w:tcMar>
          </w:tcPr>
          <w:p>
            <w:pPr>
              <w:spacing w:after="20" w:line="252" w:lineRule="auto"/>
            </w:pPr>
            <w:r/>
            <w:r>
              <w:rPr>
                <w:rFonts w:ascii="Arial" w:hAnsi="Arial"/>
                <w:b w:val="0"/>
                <w:i w:val="0"/>
                <w:color w:val="000000"/>
                <w:sz w:val="18"/>
              </w:rPr>
              <w:t>Selected practical configuration</w:t>
            </w:r>
          </w:p>
        </w:tc>
      </w:tr>
    </w:tbl>
    <w:p>
      <w:pPr>
        <w:spacing w:after="20"/>
      </w:pPr>
    </w:p>
    <w:p>
      <w:pPr>
        <w:pStyle w:val="Heading1"/>
      </w:pPr>
      <w:r>
        <w:t>Case analysis method</w:t>
      </w:r>
    </w:p>
    <w:p>
      <w:pPr>
        <w:spacing w:after="120" w:line="276" w:lineRule="auto"/>
      </w:pPr>
      <w:r>
        <w:rPr>
          <w:rFonts w:ascii="Arial" w:hAnsi="Arial"/>
          <w:b w:val="0"/>
          <w:i w:val="0"/>
          <w:color w:val="000000"/>
          <w:sz w:val="21"/>
        </w:rPr>
        <w:t>Retrieval is assessed independently from the generated answer. The harness records each returned chunk ID and compares it with the stored gold chunk IDs for the unchanged structure-aware boundaries. This gives 87.50% Recall@8: evidence was missed for two of sixteen labelled cases. [E5][E10]</w:t>
      </w:r>
    </w:p>
    <w:p>
      <w:pPr>
        <w:spacing w:after="120" w:line="276" w:lineRule="auto"/>
      </w:pPr>
      <w:r>
        <w:rPr>
          <w:rFonts w:ascii="Arial" w:hAnsi="Arial"/>
          <w:b w:val="0"/>
          <w:i w:val="0"/>
          <w:color w:val="000000"/>
          <w:sz w:val="21"/>
        </w:rPr>
        <w:t>The dense-only result shows why no single ranking metric is enough: it produced stronger MRR/nDCG but weaker answer accuracy and grounding. Hybrid retrieval is selected for the current POC because it better supports the end-to-end assessment outcome, while future experiments should add independently annotated evidence spans. [E10]</w:t>
      </w:r>
    </w:p>
    <w:p>
      <w:pPr>
        <w:pStyle w:val="Heading1"/>
      </w:pPr>
      <w:r>
        <w:t>Evaluation setup</w:t>
      </w:r>
    </w:p>
    <w:p>
      <w:pPr>
        <w:spacing w:after="120" w:line="276" w:lineRule="auto"/>
      </w:pPr>
      <w:r>
        <w:rPr>
          <w:rFonts w:ascii="Arial" w:hAnsi="Arial"/>
          <w:b w:val="0"/>
          <w:i w:val="0"/>
          <w:color w:val="000000"/>
          <w:sz w:val="21"/>
        </w:rPr>
        <w:t>The strongest saved retrieval evidence is the two-report production-parser run: 16 source-derived questions, 22 structure-aware chunks and top_k=8. Gold chunk identifiers are recorded in the run configuration. [E4][E6]</w:t>
      </w:r>
    </w:p>
    <w:p>
      <w:pPr>
        <w:spacing w:after="120" w:line="276" w:lineRule="auto"/>
      </w:pPr>
      <w:r>
        <w:rPr>
          <w:rFonts w:ascii="Arial" w:hAnsi="Arial"/>
          <w:b w:val="0"/>
          <w:i w:val="0"/>
          <w:color w:val="000000"/>
          <w:sz w:val="21"/>
        </w:rPr>
        <w:t>Metrics are reported independently of the answer model so retrieval limitations are not hidden by answer accuracy. [E5]</w:t>
      </w:r>
    </w:p>
    <w:p>
      <w:pPr>
        <w:pStyle w:val="Heading1"/>
      </w:pPr>
      <w:r>
        <w:t>Measured retrieval metrics</w:t>
      </w:r>
    </w:p>
    <w:tbl>
      <w:tblPr>
        <w:tblStyle w:val="TableGrid"/>
        <w:tblW w:type="dxa" w:w="9360"/>
        <w:tblLayout w:type="fixed"/>
        <w:tblLook w:firstColumn="1" w:firstRow="1" w:lastColumn="0" w:lastRow="0" w:noHBand="0" w:noVBand="1" w:val="04A0"/>
        <w:tblInd w:w="120" w:type="dxa"/>
      </w:tblPr>
      <w:tblGrid>
        <w:gridCol w:w="2500"/>
        <w:gridCol w:w="1500"/>
        <w:gridCol w:w="5360"/>
      </w:tblGrid>
      <w:tr>
        <w:tc>
          <w:tcPr>
            <w:tcW w:type="dxa" w:w="2500"/>
            <w:vAlign w:val="center"/>
            <w:tcMar>
              <w:top w:w="80" w:type="dxa"/>
              <w:start w:w="120" w:type="dxa"/>
              <w:bottom w:w="80" w:type="dxa"/>
              <w:end w:w="120" w:type="dxa"/>
            </w:tcMar>
          </w:tcPr>
          <w:p>
            <w:pPr>
              <w:spacing w:after="20"/>
            </w:pPr>
            <w:r/>
            <w:r>
              <w:rPr>
                <w:rFonts w:ascii="Arial" w:hAnsi="Arial"/>
                <w:b/>
                <w:i w:val="0"/>
                <w:color w:val="000000"/>
                <w:sz w:val="18"/>
              </w:rPr>
              <w:t>Metric</w:t>
            </w:r>
          </w:p>
        </w:tc>
        <w:tc>
          <w:tcPr>
            <w:tcW w:type="dxa" w:w="1500"/>
            <w:vAlign w:val="center"/>
            <w:tcMar>
              <w:top w:w="80" w:type="dxa"/>
              <w:start w:w="120" w:type="dxa"/>
              <w:bottom w:w="80" w:type="dxa"/>
              <w:end w:w="120" w:type="dxa"/>
            </w:tcMar>
          </w:tcPr>
          <w:p>
            <w:pPr>
              <w:spacing w:after="20"/>
            </w:pPr>
            <w:r/>
            <w:r>
              <w:rPr>
                <w:rFonts w:ascii="Arial" w:hAnsi="Arial"/>
                <w:b/>
                <w:i w:val="0"/>
                <w:color w:val="000000"/>
                <w:sz w:val="18"/>
              </w:rPr>
              <w:t>Value</w:t>
            </w:r>
          </w:p>
        </w:tc>
        <w:tc>
          <w:tcPr>
            <w:tcW w:type="dxa" w:w="5360"/>
            <w:vAlign w:val="center"/>
            <w:tcMar>
              <w:top w:w="80" w:type="dxa"/>
              <w:start w:w="120" w:type="dxa"/>
              <w:bottom w:w="80" w:type="dxa"/>
              <w:end w:w="120" w:type="dxa"/>
            </w:tcMar>
          </w:tcPr>
          <w:p>
            <w:pPr>
              <w:spacing w:after="20"/>
            </w:pPr>
            <w:r/>
            <w:r>
              <w:rPr>
                <w:rFonts w:ascii="Arial" w:hAnsi="Arial"/>
                <w:b/>
                <w:i w:val="0"/>
                <w:color w:val="000000"/>
                <w:sz w:val="18"/>
              </w:rPr>
              <w:t>Interpretation</w:t>
            </w:r>
          </w:p>
        </w:tc>
      </w:tr>
      <w:tr>
        <w:tc>
          <w:tcPr>
            <w:tcW w:type="dxa" w:w="2500"/>
            <w:vAlign w:val="center"/>
            <w:tcMar>
              <w:top w:w="80" w:type="dxa"/>
              <w:start w:w="120" w:type="dxa"/>
              <w:bottom w:w="80" w:type="dxa"/>
              <w:end w:w="120" w:type="dxa"/>
            </w:tcMar>
          </w:tcPr>
          <w:p>
            <w:pPr>
              <w:spacing w:after="20" w:line="252" w:lineRule="auto"/>
            </w:pPr>
            <w:r/>
            <w:r>
              <w:rPr>
                <w:rFonts w:ascii="Arial" w:hAnsi="Arial"/>
                <w:b w:val="0"/>
                <w:i w:val="0"/>
                <w:color w:val="000000"/>
                <w:sz w:val="18"/>
              </w:rPr>
              <w:t>Precision@8</w:t>
            </w:r>
          </w:p>
        </w:tc>
        <w:tc>
          <w:tcPr>
            <w:tcW w:type="dxa" w:w="1500"/>
            <w:vAlign w:val="center"/>
            <w:tcMar>
              <w:top w:w="80" w:type="dxa"/>
              <w:start w:w="120" w:type="dxa"/>
              <w:bottom w:w="80" w:type="dxa"/>
              <w:end w:w="120" w:type="dxa"/>
            </w:tcMar>
          </w:tcPr>
          <w:p>
            <w:pPr>
              <w:spacing w:after="20" w:line="252" w:lineRule="auto"/>
            </w:pPr>
            <w:r/>
            <w:r>
              <w:rPr>
                <w:rFonts w:ascii="Arial" w:hAnsi="Arial"/>
                <w:b w:val="0"/>
                <w:i w:val="0"/>
                <w:color w:val="000000"/>
                <w:sz w:val="18"/>
              </w:rPr>
              <w:t>0.1443</w:t>
            </w:r>
          </w:p>
        </w:tc>
        <w:tc>
          <w:tcPr>
            <w:tcW w:type="dxa" w:w="5360"/>
            <w:vAlign w:val="center"/>
            <w:tcMar>
              <w:top w:w="80" w:type="dxa"/>
              <w:start w:w="120" w:type="dxa"/>
              <w:bottom w:w="80" w:type="dxa"/>
              <w:end w:w="120" w:type="dxa"/>
            </w:tcMar>
          </w:tcPr>
          <w:p>
            <w:pPr>
              <w:spacing w:after="20" w:line="252" w:lineRule="auto"/>
            </w:pPr>
            <w:r/>
            <w:r>
              <w:rPr>
                <w:rFonts w:ascii="Arial" w:hAnsi="Arial"/>
                <w:b w:val="0"/>
                <w:i w:val="0"/>
                <w:color w:val="000000"/>
                <w:sz w:val="18"/>
              </w:rPr>
              <w:t>Most top-8 context is not gold-labelled; evidence packing can improve.</w:t>
            </w:r>
          </w:p>
        </w:tc>
      </w:tr>
      <w:tr>
        <w:tc>
          <w:tcPr>
            <w:tcW w:type="dxa" w:w="2500"/>
            <w:vAlign w:val="center"/>
            <w:tcMar>
              <w:top w:w="80" w:type="dxa"/>
              <w:start w:w="120" w:type="dxa"/>
              <w:bottom w:w="80" w:type="dxa"/>
              <w:end w:w="120" w:type="dxa"/>
            </w:tcMar>
          </w:tcPr>
          <w:p>
            <w:pPr>
              <w:spacing w:after="20" w:line="252" w:lineRule="auto"/>
            </w:pPr>
            <w:r/>
            <w:r>
              <w:rPr>
                <w:rFonts w:ascii="Arial" w:hAnsi="Arial"/>
                <w:b w:val="0"/>
                <w:i w:val="0"/>
                <w:color w:val="000000"/>
                <w:sz w:val="18"/>
              </w:rPr>
              <w:t>Recall@8 / Hit Rate@8</w:t>
            </w:r>
          </w:p>
        </w:tc>
        <w:tc>
          <w:tcPr>
            <w:tcW w:type="dxa" w:w="1500"/>
            <w:vAlign w:val="center"/>
            <w:tcMar>
              <w:top w:w="80" w:type="dxa"/>
              <w:start w:w="120" w:type="dxa"/>
              <w:bottom w:w="80" w:type="dxa"/>
              <w:end w:w="120" w:type="dxa"/>
            </w:tcMar>
          </w:tcPr>
          <w:p>
            <w:pPr>
              <w:spacing w:after="20" w:line="252" w:lineRule="auto"/>
            </w:pPr>
            <w:r/>
            <w:r>
              <w:rPr>
                <w:rFonts w:ascii="Arial" w:hAnsi="Arial"/>
                <w:b w:val="0"/>
                <w:i w:val="0"/>
                <w:color w:val="000000"/>
                <w:sz w:val="18"/>
              </w:rPr>
              <w:t>0.8750 / 0.8750</w:t>
            </w:r>
          </w:p>
        </w:tc>
        <w:tc>
          <w:tcPr>
            <w:tcW w:type="dxa" w:w="5360"/>
            <w:vAlign w:val="center"/>
            <w:tcMar>
              <w:top w:w="80" w:type="dxa"/>
              <w:start w:w="120" w:type="dxa"/>
              <w:bottom w:w="80" w:type="dxa"/>
              <w:end w:w="120" w:type="dxa"/>
            </w:tcMar>
          </w:tcPr>
          <w:p>
            <w:pPr>
              <w:spacing w:after="20" w:line="252" w:lineRule="auto"/>
            </w:pPr>
            <w:r/>
            <w:r>
              <w:rPr>
                <w:rFonts w:ascii="Arial" w:hAnsi="Arial"/>
                <w:b w:val="0"/>
                <w:i w:val="0"/>
                <w:color w:val="000000"/>
                <w:sz w:val="18"/>
              </w:rPr>
              <w:t>Gold evidence retrieved for 14 of 16 labelled cases.</w:t>
            </w:r>
          </w:p>
        </w:tc>
      </w:tr>
      <w:tr>
        <w:tc>
          <w:tcPr>
            <w:tcW w:type="dxa" w:w="2500"/>
            <w:vAlign w:val="center"/>
            <w:tcMar>
              <w:top w:w="80" w:type="dxa"/>
              <w:start w:w="120" w:type="dxa"/>
              <w:bottom w:w="80" w:type="dxa"/>
              <w:end w:w="120" w:type="dxa"/>
            </w:tcMar>
          </w:tcPr>
          <w:p>
            <w:pPr>
              <w:spacing w:after="20" w:line="252" w:lineRule="auto"/>
            </w:pPr>
            <w:r/>
            <w:r>
              <w:rPr>
                <w:rFonts w:ascii="Arial" w:hAnsi="Arial"/>
                <w:b w:val="0"/>
                <w:i w:val="0"/>
                <w:color w:val="000000"/>
                <w:sz w:val="18"/>
              </w:rPr>
              <w:t>MRR</w:t>
            </w:r>
          </w:p>
        </w:tc>
        <w:tc>
          <w:tcPr>
            <w:tcW w:type="dxa" w:w="1500"/>
            <w:vAlign w:val="center"/>
            <w:tcMar>
              <w:top w:w="80" w:type="dxa"/>
              <w:start w:w="120" w:type="dxa"/>
              <w:bottom w:w="80" w:type="dxa"/>
              <w:end w:w="120" w:type="dxa"/>
            </w:tcMar>
          </w:tcPr>
          <w:p>
            <w:pPr>
              <w:spacing w:after="20" w:line="252" w:lineRule="auto"/>
            </w:pPr>
            <w:r/>
            <w:r>
              <w:rPr>
                <w:rFonts w:ascii="Arial" w:hAnsi="Arial"/>
                <w:b w:val="0"/>
                <w:i w:val="0"/>
                <w:color w:val="000000"/>
                <w:sz w:val="18"/>
              </w:rPr>
              <w:t>0.2781</w:t>
            </w:r>
          </w:p>
        </w:tc>
        <w:tc>
          <w:tcPr>
            <w:tcW w:type="dxa" w:w="5360"/>
            <w:vAlign w:val="center"/>
            <w:tcMar>
              <w:top w:w="80" w:type="dxa"/>
              <w:start w:w="120" w:type="dxa"/>
              <w:bottom w:w="80" w:type="dxa"/>
              <w:end w:w="120" w:type="dxa"/>
            </w:tcMar>
          </w:tcPr>
          <w:p>
            <w:pPr>
              <w:spacing w:after="20" w:line="252" w:lineRule="auto"/>
            </w:pPr>
            <w:r/>
            <w:r>
              <w:rPr>
                <w:rFonts w:ascii="Arial" w:hAnsi="Arial"/>
                <w:b w:val="0"/>
                <w:i w:val="0"/>
                <w:color w:val="000000"/>
                <w:sz w:val="18"/>
              </w:rPr>
              <w:t>Relevant evidence is frequently not ranked near first.</w:t>
            </w:r>
          </w:p>
        </w:tc>
      </w:tr>
      <w:tr>
        <w:tc>
          <w:tcPr>
            <w:tcW w:type="dxa" w:w="2500"/>
            <w:vAlign w:val="center"/>
            <w:tcMar>
              <w:top w:w="80" w:type="dxa"/>
              <w:start w:w="120" w:type="dxa"/>
              <w:bottom w:w="80" w:type="dxa"/>
              <w:end w:w="120" w:type="dxa"/>
            </w:tcMar>
          </w:tcPr>
          <w:p>
            <w:pPr>
              <w:spacing w:after="20" w:line="252" w:lineRule="auto"/>
            </w:pPr>
            <w:r/>
            <w:r>
              <w:rPr>
                <w:rFonts w:ascii="Arial" w:hAnsi="Arial"/>
                <w:b w:val="0"/>
                <w:i w:val="0"/>
                <w:color w:val="000000"/>
                <w:sz w:val="18"/>
              </w:rPr>
              <w:t>nDCG@8</w:t>
            </w:r>
          </w:p>
        </w:tc>
        <w:tc>
          <w:tcPr>
            <w:tcW w:type="dxa" w:w="1500"/>
            <w:vAlign w:val="center"/>
            <w:tcMar>
              <w:top w:w="80" w:type="dxa"/>
              <w:start w:w="120" w:type="dxa"/>
              <w:bottom w:w="80" w:type="dxa"/>
              <w:end w:w="120" w:type="dxa"/>
            </w:tcMar>
          </w:tcPr>
          <w:p>
            <w:pPr>
              <w:spacing w:after="20" w:line="252" w:lineRule="auto"/>
            </w:pPr>
            <w:r/>
            <w:r>
              <w:rPr>
                <w:rFonts w:ascii="Arial" w:hAnsi="Arial"/>
                <w:b w:val="0"/>
                <w:i w:val="0"/>
                <w:color w:val="000000"/>
                <w:sz w:val="18"/>
              </w:rPr>
              <w:t>0.4212</w:t>
            </w:r>
          </w:p>
        </w:tc>
        <w:tc>
          <w:tcPr>
            <w:tcW w:type="dxa" w:w="5360"/>
            <w:vAlign w:val="center"/>
            <w:tcMar>
              <w:top w:w="80" w:type="dxa"/>
              <w:start w:w="120" w:type="dxa"/>
              <w:bottom w:w="80" w:type="dxa"/>
              <w:end w:w="120" w:type="dxa"/>
            </w:tcMar>
          </w:tcPr>
          <w:p>
            <w:pPr>
              <w:spacing w:after="20" w:line="252" w:lineRule="auto"/>
            </w:pPr>
            <w:r/>
            <w:r>
              <w:rPr>
                <w:rFonts w:ascii="Arial" w:hAnsi="Arial"/>
                <w:b w:val="0"/>
                <w:i w:val="0"/>
                <w:color w:val="000000"/>
                <w:sz w:val="18"/>
              </w:rPr>
              <w:t>Ranking quality leaves material room for improvement.</w:t>
            </w:r>
          </w:p>
        </w:tc>
      </w:tr>
      <w:tr>
        <w:tc>
          <w:tcPr>
            <w:tcW w:type="dxa" w:w="2500"/>
            <w:vAlign w:val="center"/>
            <w:tcMar>
              <w:top w:w="80" w:type="dxa"/>
              <w:start w:w="120" w:type="dxa"/>
              <w:bottom w:w="80" w:type="dxa"/>
              <w:end w:w="120" w:type="dxa"/>
            </w:tcMar>
          </w:tcPr>
          <w:p>
            <w:pPr>
              <w:spacing w:after="20" w:line="252" w:lineRule="auto"/>
            </w:pPr>
            <w:r/>
            <w:r>
              <w:rPr>
                <w:rFonts w:ascii="Arial" w:hAnsi="Arial"/>
                <w:b w:val="0"/>
                <w:i w:val="0"/>
                <w:color w:val="000000"/>
                <w:sz w:val="18"/>
              </w:rPr>
              <w:t>Qwen3 comparison recall@5</w:t>
            </w:r>
          </w:p>
        </w:tc>
        <w:tc>
          <w:tcPr>
            <w:tcW w:type="dxa" w:w="1500"/>
            <w:vAlign w:val="center"/>
            <w:tcMar>
              <w:top w:w="80" w:type="dxa"/>
              <w:start w:w="120" w:type="dxa"/>
              <w:bottom w:w="80" w:type="dxa"/>
              <w:end w:w="120" w:type="dxa"/>
            </w:tcMar>
          </w:tcPr>
          <w:p>
            <w:pPr>
              <w:spacing w:after="20" w:line="252" w:lineRule="auto"/>
            </w:pPr>
            <w:r/>
            <w:r>
              <w:rPr>
                <w:rFonts w:ascii="Arial" w:hAnsi="Arial"/>
                <w:b w:val="0"/>
                <w:i w:val="0"/>
                <w:color w:val="000000"/>
                <w:sz w:val="18"/>
              </w:rPr>
              <w:t>1.0000</w:t>
            </w:r>
          </w:p>
        </w:tc>
        <w:tc>
          <w:tcPr>
            <w:tcW w:type="dxa" w:w="5360"/>
            <w:vAlign w:val="center"/>
            <w:tcMar>
              <w:top w:w="80" w:type="dxa"/>
              <w:start w:w="120" w:type="dxa"/>
              <w:bottom w:w="80" w:type="dxa"/>
              <w:end w:w="120" w:type="dxa"/>
            </w:tcMar>
          </w:tcPr>
          <w:p>
            <w:pPr>
              <w:spacing w:after="20" w:line="252" w:lineRule="auto"/>
            </w:pPr>
            <w:r/>
            <w:r>
              <w:rPr>
                <w:rFonts w:ascii="Arial" w:hAnsi="Arial"/>
                <w:b w:val="0"/>
                <w:i w:val="0"/>
                <w:color w:val="000000"/>
                <w:sz w:val="18"/>
              </w:rPr>
              <w:t>On the separate one-report/12-question, 10-chunk benchmark; not directly comparable to the two-report run.</w:t>
            </w:r>
          </w:p>
        </w:tc>
      </w:tr>
    </w:tbl>
    <w:p>
      <w:pPr>
        <w:spacing w:after="20"/>
      </w:pPr>
    </w:p>
    <w:p>
      <w:pPr>
        <w:pStyle w:val="Heading1"/>
      </w:pPr>
      <w:r>
        <w:t>Representative cases</w:t>
      </w:r>
    </w:p>
    <w:tbl>
      <w:tblPr>
        <w:tblStyle w:val="TableGrid"/>
        <w:tblW w:type="dxa" w:w="9360"/>
        <w:tblLayout w:type="fixed"/>
        <w:tblLook w:firstColumn="1" w:firstRow="1" w:lastColumn="0" w:lastRow="0" w:noHBand="0" w:noVBand="1" w:val="04A0"/>
        <w:tblInd w:w="120" w:type="dxa"/>
      </w:tblPr>
      <w:tblGrid>
        <w:gridCol w:w="2100"/>
        <w:gridCol w:w="3850"/>
        <w:gridCol w:w="3410"/>
      </w:tblGrid>
      <w:tr>
        <w:tc>
          <w:tcPr>
            <w:tcW w:type="dxa" w:w="2100"/>
            <w:vAlign w:val="center"/>
            <w:tcMar>
              <w:top w:w="80" w:type="dxa"/>
              <w:start w:w="120" w:type="dxa"/>
              <w:bottom w:w="80" w:type="dxa"/>
              <w:end w:w="120" w:type="dxa"/>
            </w:tcMar>
          </w:tcPr>
          <w:p>
            <w:pPr>
              <w:spacing w:after="20"/>
            </w:pPr>
            <w:r/>
            <w:r>
              <w:rPr>
                <w:rFonts w:ascii="Arial" w:hAnsi="Arial"/>
                <w:b/>
                <w:i w:val="0"/>
                <w:color w:val="000000"/>
                <w:sz w:val="18"/>
              </w:rPr>
              <w:t>Case type</w:t>
            </w:r>
          </w:p>
        </w:tc>
        <w:tc>
          <w:tcPr>
            <w:tcW w:type="dxa" w:w="3850"/>
            <w:vAlign w:val="center"/>
            <w:tcMar>
              <w:top w:w="80" w:type="dxa"/>
              <w:start w:w="120" w:type="dxa"/>
              <w:bottom w:w="80" w:type="dxa"/>
              <w:end w:w="120" w:type="dxa"/>
            </w:tcMar>
          </w:tcPr>
          <w:p>
            <w:pPr>
              <w:spacing w:after="20"/>
            </w:pPr>
            <w:r/>
            <w:r>
              <w:rPr>
                <w:rFonts w:ascii="Arial" w:hAnsi="Arial"/>
                <w:b/>
                <w:i w:val="0"/>
                <w:color w:val="000000"/>
                <w:sz w:val="18"/>
              </w:rPr>
              <w:t>Observed behaviour</w:t>
            </w:r>
          </w:p>
        </w:tc>
        <w:tc>
          <w:tcPr>
            <w:tcW w:type="dxa" w:w="3410"/>
            <w:vAlign w:val="center"/>
            <w:tcMar>
              <w:top w:w="80" w:type="dxa"/>
              <w:start w:w="120" w:type="dxa"/>
              <w:bottom w:w="80" w:type="dxa"/>
              <w:end w:w="120" w:type="dxa"/>
            </w:tcMar>
          </w:tcPr>
          <w:p>
            <w:pPr>
              <w:spacing w:after="20"/>
            </w:pPr>
            <w:r/>
            <w:r>
              <w:rPr>
                <w:rFonts w:ascii="Arial" w:hAnsi="Arial"/>
                <w:b/>
                <w:i w:val="0"/>
                <w:color w:val="000000"/>
                <w:sz w:val="18"/>
              </w:rPr>
              <w:t>Implication</w:t>
            </w:r>
          </w:p>
        </w:tc>
      </w:tr>
      <w:tr>
        <w:tc>
          <w:tcPr>
            <w:tcW w:type="dxa" w:w="2100"/>
            <w:vAlign w:val="center"/>
            <w:tcMar>
              <w:top w:w="80" w:type="dxa"/>
              <w:start w:w="120" w:type="dxa"/>
              <w:bottom w:w="80" w:type="dxa"/>
              <w:end w:w="120" w:type="dxa"/>
            </w:tcMar>
          </w:tcPr>
          <w:p>
            <w:pPr>
              <w:spacing w:after="20" w:line="252" w:lineRule="auto"/>
            </w:pPr>
            <w:r/>
            <w:r>
              <w:rPr>
                <w:rFonts w:ascii="Arial" w:hAnsi="Arial"/>
                <w:b w:val="0"/>
                <w:i w:val="0"/>
                <w:color w:val="000000"/>
                <w:sz w:val="18"/>
              </w:rPr>
              <w:t>Finding existence / severity / CWE</w:t>
            </w:r>
          </w:p>
        </w:tc>
        <w:tc>
          <w:tcPr>
            <w:tcW w:type="dxa" w:w="3850"/>
            <w:vAlign w:val="center"/>
            <w:tcMar>
              <w:top w:w="80" w:type="dxa"/>
              <w:start w:w="120" w:type="dxa"/>
              <w:bottom w:w="80" w:type="dxa"/>
              <w:end w:w="120" w:type="dxa"/>
            </w:tcMar>
          </w:tcPr>
          <w:p>
            <w:pPr>
              <w:spacing w:after="20" w:line="252" w:lineRule="auto"/>
            </w:pPr>
            <w:r/>
            <w:r>
              <w:rPr>
                <w:rFonts w:ascii="Arial" w:hAnsi="Arial"/>
                <w:b w:val="0"/>
                <w:i w:val="0"/>
                <w:color w:val="000000"/>
                <w:sz w:val="18"/>
              </w:rPr>
              <w:t>Many questions retrieve their labelled finding chunk.</w:t>
            </w:r>
          </w:p>
        </w:tc>
        <w:tc>
          <w:tcPr>
            <w:tcW w:type="dxa" w:w="3410"/>
            <w:vAlign w:val="center"/>
            <w:tcMar>
              <w:top w:w="80" w:type="dxa"/>
              <w:start w:w="120" w:type="dxa"/>
              <w:bottom w:w="80" w:type="dxa"/>
              <w:end w:w="120" w:type="dxa"/>
            </w:tcMar>
          </w:tcPr>
          <w:p>
            <w:pPr>
              <w:spacing w:after="20" w:line="252" w:lineRule="auto"/>
            </w:pPr>
            <w:r/>
            <w:r>
              <w:rPr>
                <w:rFonts w:ascii="Arial" w:hAnsi="Arial"/>
                <w:b w:val="0"/>
                <w:i w:val="0"/>
                <w:color w:val="000000"/>
                <w:sz w:val="18"/>
              </w:rPr>
              <w:t>Structured field paths aid local factual questions [E4][E6].</w:t>
            </w:r>
          </w:p>
        </w:tc>
      </w:tr>
      <w:tr>
        <w:tc>
          <w:tcPr>
            <w:tcW w:type="dxa" w:w="2100"/>
            <w:vAlign w:val="center"/>
            <w:tcMar>
              <w:top w:w="80" w:type="dxa"/>
              <w:start w:w="120" w:type="dxa"/>
              <w:bottom w:w="80" w:type="dxa"/>
              <w:end w:w="120" w:type="dxa"/>
            </w:tcMar>
          </w:tcPr>
          <w:p>
            <w:pPr>
              <w:spacing w:after="20" w:line="252" w:lineRule="auto"/>
            </w:pPr>
            <w:r/>
            <w:r>
              <w:rPr>
                <w:rFonts w:ascii="Arial" w:hAnsi="Arial"/>
                <w:b w:val="0"/>
                <w:i w:val="0"/>
                <w:color w:val="000000"/>
                <w:sz w:val="18"/>
              </w:rPr>
              <w:t>Negative or universal statement</w:t>
            </w:r>
          </w:p>
        </w:tc>
        <w:tc>
          <w:tcPr>
            <w:tcW w:type="dxa" w:w="3850"/>
            <w:vAlign w:val="center"/>
            <w:tcMar>
              <w:top w:w="80" w:type="dxa"/>
              <w:start w:w="120" w:type="dxa"/>
              <w:bottom w:w="80" w:type="dxa"/>
              <w:end w:w="120" w:type="dxa"/>
            </w:tcMar>
          </w:tcPr>
          <w:p>
            <w:pPr>
              <w:spacing w:after="20" w:line="252" w:lineRule="auto"/>
            </w:pPr>
            <w:r/>
            <w:r>
              <w:rPr>
                <w:rFonts w:ascii="Arial" w:hAnsi="Arial"/>
                <w:b w:val="0"/>
                <w:i w:val="0"/>
                <w:color w:val="000000"/>
                <w:sz w:val="18"/>
              </w:rPr>
              <w:t>Three of four No labels were predicted Yes by the pipeline.</w:t>
            </w:r>
          </w:p>
        </w:tc>
        <w:tc>
          <w:tcPr>
            <w:tcW w:type="dxa" w:w="3410"/>
            <w:vAlign w:val="center"/>
            <w:tcMar>
              <w:top w:w="80" w:type="dxa"/>
              <w:start w:w="120" w:type="dxa"/>
              <w:bottom w:w="80" w:type="dxa"/>
              <w:end w:w="120" w:type="dxa"/>
            </w:tcMar>
          </w:tcPr>
          <w:p>
            <w:pPr>
              <w:spacing w:after="20" w:line="252" w:lineRule="auto"/>
            </w:pPr>
            <w:r/>
            <w:r>
              <w:rPr>
                <w:rFonts w:ascii="Arial" w:hAnsi="Arial"/>
                <w:b w:val="0"/>
                <w:i w:val="0"/>
                <w:color w:val="000000"/>
                <w:sz w:val="18"/>
              </w:rPr>
              <w:t>Need negative/abstention examples and contradiction-aware retrieval [E5].</w:t>
            </w:r>
          </w:p>
        </w:tc>
      </w:tr>
      <w:tr>
        <w:tc>
          <w:tcPr>
            <w:tcW w:type="dxa" w:w="2100"/>
            <w:vAlign w:val="center"/>
            <w:tcMar>
              <w:top w:w="80" w:type="dxa"/>
              <w:start w:w="120" w:type="dxa"/>
              <w:bottom w:w="80" w:type="dxa"/>
              <w:end w:w="120" w:type="dxa"/>
            </w:tcMar>
          </w:tcPr>
          <w:p>
            <w:pPr>
              <w:spacing w:after="20" w:line="252" w:lineRule="auto"/>
            </w:pPr>
            <w:r/>
            <w:r>
              <w:rPr>
                <w:rFonts w:ascii="Arial" w:hAnsi="Arial"/>
                <w:b w:val="0"/>
                <w:i w:val="0"/>
                <w:color w:val="000000"/>
                <w:sz w:val="18"/>
              </w:rPr>
              <w:t>Missed labelled evidence</w:t>
            </w:r>
          </w:p>
        </w:tc>
        <w:tc>
          <w:tcPr>
            <w:tcW w:type="dxa" w:w="3850"/>
            <w:vAlign w:val="center"/>
            <w:tcMar>
              <w:top w:w="80" w:type="dxa"/>
              <w:start w:w="120" w:type="dxa"/>
              <w:bottom w:w="80" w:type="dxa"/>
              <w:end w:w="120" w:type="dxa"/>
            </w:tcMar>
          </w:tcPr>
          <w:p>
            <w:pPr>
              <w:spacing w:after="20" w:line="252" w:lineRule="auto"/>
            </w:pPr>
            <w:r/>
            <w:r>
              <w:rPr>
                <w:rFonts w:ascii="Arial" w:hAnsi="Arial"/>
                <w:b w:val="0"/>
                <w:i w:val="0"/>
                <w:color w:val="000000"/>
                <w:sz w:val="18"/>
              </w:rPr>
              <w:t>2 of 16 queries had recall@8=0.</w:t>
            </w:r>
          </w:p>
        </w:tc>
        <w:tc>
          <w:tcPr>
            <w:tcW w:type="dxa" w:w="3410"/>
            <w:vAlign w:val="center"/>
            <w:tcMar>
              <w:top w:w="80" w:type="dxa"/>
              <w:start w:w="120" w:type="dxa"/>
              <w:bottom w:w="80" w:type="dxa"/>
              <w:end w:w="120" w:type="dxa"/>
            </w:tcMar>
          </w:tcPr>
          <w:p>
            <w:pPr>
              <w:spacing w:after="20" w:line="252" w:lineRule="auto"/>
            </w:pPr>
            <w:r/>
            <w:r>
              <w:rPr>
                <w:rFonts w:ascii="Arial" w:hAnsi="Arial"/>
                <w:b w:val="0"/>
                <w:i w:val="0"/>
                <w:color w:val="000000"/>
                <w:sz w:val="18"/>
              </w:rPr>
              <w:t>Inspect chunk boundaries, labels and query formulation before increasing k [E5].</w:t>
            </w:r>
          </w:p>
        </w:tc>
      </w:tr>
      <w:tr>
        <w:tc>
          <w:tcPr>
            <w:tcW w:type="dxa" w:w="2100"/>
            <w:vAlign w:val="center"/>
            <w:tcMar>
              <w:top w:w="80" w:type="dxa"/>
              <w:start w:w="120" w:type="dxa"/>
              <w:bottom w:w="80" w:type="dxa"/>
              <w:end w:w="120" w:type="dxa"/>
            </w:tcMar>
          </w:tcPr>
          <w:p>
            <w:pPr>
              <w:spacing w:after="20" w:line="252" w:lineRule="auto"/>
            </w:pPr>
            <w:r/>
            <w:r>
              <w:rPr>
                <w:rFonts w:ascii="Arial" w:hAnsi="Arial"/>
                <w:b w:val="0"/>
                <w:i w:val="0"/>
                <w:color w:val="000000"/>
                <w:sz w:val="18"/>
              </w:rPr>
              <w:t>Small baseline</w:t>
            </w:r>
          </w:p>
        </w:tc>
        <w:tc>
          <w:tcPr>
            <w:tcW w:type="dxa" w:w="3850"/>
            <w:vAlign w:val="center"/>
            <w:tcMar>
              <w:top w:w="80" w:type="dxa"/>
              <w:start w:w="120" w:type="dxa"/>
              <w:bottom w:w="80" w:type="dxa"/>
              <w:end w:w="120" w:type="dxa"/>
            </w:tcMar>
          </w:tcPr>
          <w:p>
            <w:pPr>
              <w:spacing w:after="20" w:line="252" w:lineRule="auto"/>
            </w:pPr>
            <w:r/>
            <w:r>
              <w:rPr>
                <w:rFonts w:ascii="Arial" w:hAnsi="Arial"/>
                <w:b w:val="0"/>
                <w:i w:val="0"/>
                <w:color w:val="000000"/>
                <w:sz w:val="18"/>
              </w:rPr>
              <w:t>Perfect rank metrics were recorded on a 10-chunk one-report comparison.</w:t>
            </w:r>
          </w:p>
        </w:tc>
        <w:tc>
          <w:tcPr>
            <w:tcW w:type="dxa" w:w="3410"/>
            <w:vAlign w:val="center"/>
            <w:tcMar>
              <w:top w:w="80" w:type="dxa"/>
              <w:start w:w="120" w:type="dxa"/>
              <w:bottom w:w="80" w:type="dxa"/>
              <w:end w:w="120" w:type="dxa"/>
            </w:tcMar>
          </w:tcPr>
          <w:p>
            <w:pPr>
              <w:spacing w:after="20" w:line="252" w:lineRule="auto"/>
            </w:pPr>
            <w:r/>
            <w:r>
              <w:rPr>
                <w:rFonts w:ascii="Arial" w:hAnsi="Arial"/>
                <w:b w:val="0"/>
                <w:i w:val="0"/>
                <w:color w:val="000000"/>
                <w:sz w:val="18"/>
              </w:rPr>
              <w:t>Do not infer generalisation from the easy, overlapping-label setting [E2].</w:t>
            </w:r>
          </w:p>
        </w:tc>
      </w:tr>
    </w:tbl>
    <w:p>
      <w:pPr>
        <w:spacing w:after="20"/>
      </w:pPr>
    </w:p>
    <w:p>
      <w:pPr>
        <w:pStyle w:val="Heading1"/>
      </w:pPr>
      <w:r>
        <w:t>Interpretation</w:t>
      </w:r>
    </w:p>
    <w:p>
      <w:pPr>
        <w:spacing w:after="120" w:line="276" w:lineRule="auto"/>
      </w:pPr>
      <w:r>
        <w:rPr>
          <w:rFonts w:ascii="Arial" w:hAnsi="Arial"/>
          <w:b w:val="0"/>
          <w:i w:val="0"/>
          <w:color w:val="000000"/>
          <w:sz w:val="21"/>
        </w:rPr>
        <w:t>High grounding does not repair weak ranking: it means the final cited text is within returned evidence under the implemented check. It is not a claim-entailment guarantee. [E5][E8]</w:t>
      </w:r>
    </w:p>
    <w:p>
      <w:pPr>
        <w:spacing w:after="120" w:line="276" w:lineRule="auto"/>
      </w:pPr>
      <w:r>
        <w:rPr>
          <w:rFonts w:ascii="Arial" w:hAnsi="Arial"/>
          <w:b w:val="0"/>
          <w:i w:val="0"/>
          <w:color w:val="000000"/>
          <w:sz w:val="21"/>
        </w:rPr>
        <w:t>The next retrieval experiment should freeze reports, questions and labels, then isolate chunk length/overlap, dense-only versus hybrid, reranker, parent-child expansion and graph retrieval.</w:t>
      </w:r>
    </w:p>
    <w:p>
      <w:pPr>
        <w:pStyle w:val="Heading1"/>
      </w:pPr>
      <w:r>
        <w:t>Evidence</w:t>
      </w:r>
    </w:p>
    <w:p>
      <w:pPr>
        <w:spacing w:after="120" w:line="276" w:lineRule="auto"/>
      </w:pPr>
      <w:r>
        <w:rPr>
          <w:rFonts w:ascii="Arial" w:hAnsi="Arial"/>
          <w:b w:val="0"/>
          <w:i w:val="0"/>
          <w:color w:val="000000"/>
          <w:sz w:val="21"/>
        </w:rPr>
        <w:t>Full per-query metrics, including the two recall failures, are preserved in retrieval_metrics.json. [E5]</w:t>
      </w:r>
    </w:p>
    <w:p>
      <w:pPr>
        <w:pStyle w:val="Heading1"/>
      </w:pPr>
      <w:r>
        <w:t>Question-level retrieval exhibits</w:t>
      </w:r>
    </w:p>
    <w:tbl>
      <w:tblPr>
        <w:tblStyle w:val="TableGrid"/>
        <w:tblW w:type="dxa" w:w="9360"/>
        <w:tblLayout w:type="fixed"/>
        <w:tblLook w:firstColumn="1" w:firstRow="1" w:lastColumn="0" w:lastRow="0" w:noHBand="0" w:noVBand="1" w:val="04A0"/>
        <w:tblInd w:w="120" w:type="dxa"/>
      </w:tblPr>
      <w:tblGrid>
        <w:gridCol w:w="2450"/>
        <w:gridCol w:w="2050"/>
        <w:gridCol w:w="4860"/>
      </w:tblGrid>
      <w:tr>
        <w:tc>
          <w:tcPr>
            <w:tcW w:type="dxa" w:w="2450"/>
            <w:vAlign w:val="center"/>
            <w:tcMar>
              <w:top w:w="80" w:type="dxa"/>
              <w:start w:w="120" w:type="dxa"/>
              <w:bottom w:w="80" w:type="dxa"/>
              <w:end w:w="120" w:type="dxa"/>
            </w:tcMar>
          </w:tcPr>
          <w:p>
            <w:pPr>
              <w:spacing w:after="20"/>
            </w:pPr>
            <w:r/>
            <w:r>
              <w:rPr>
                <w:rFonts w:ascii="Arial" w:hAnsi="Arial"/>
                <w:b/>
                <w:i w:val="0"/>
                <w:color w:val="000000"/>
                <w:sz w:val="18"/>
              </w:rPr>
              <w:t>Question / report</w:t>
            </w:r>
          </w:p>
        </w:tc>
        <w:tc>
          <w:tcPr>
            <w:tcW w:type="dxa" w:w="2050"/>
            <w:vAlign w:val="center"/>
            <w:tcMar>
              <w:top w:w="80" w:type="dxa"/>
              <w:start w:w="120" w:type="dxa"/>
              <w:bottom w:w="80" w:type="dxa"/>
              <w:end w:w="120" w:type="dxa"/>
            </w:tcMar>
          </w:tcPr>
          <w:p>
            <w:pPr>
              <w:spacing w:after="20"/>
            </w:pPr>
            <w:r/>
            <w:r>
              <w:rPr>
                <w:rFonts w:ascii="Arial" w:hAnsi="Arial"/>
                <w:b/>
                <w:i w:val="0"/>
                <w:color w:val="000000"/>
                <w:sz w:val="18"/>
              </w:rPr>
              <w:t>Gold evidence retrieved?</w:t>
            </w:r>
          </w:p>
        </w:tc>
        <w:tc>
          <w:tcPr>
            <w:tcW w:type="dxa" w:w="4860"/>
            <w:vAlign w:val="center"/>
            <w:tcMar>
              <w:top w:w="80" w:type="dxa"/>
              <w:start w:w="120" w:type="dxa"/>
              <w:bottom w:w="80" w:type="dxa"/>
              <w:end w:w="120" w:type="dxa"/>
            </w:tcMar>
          </w:tcPr>
          <w:p>
            <w:pPr>
              <w:spacing w:after="20"/>
            </w:pPr>
            <w:r/>
            <w:r>
              <w:rPr>
                <w:rFonts w:ascii="Arial" w:hAnsi="Arial"/>
                <w:b/>
                <w:i w:val="0"/>
                <w:color w:val="000000"/>
                <w:sz w:val="18"/>
              </w:rPr>
              <w:t>Observed implication</w:t>
            </w:r>
          </w:p>
        </w:tc>
      </w:tr>
      <w:tr>
        <w:tc>
          <w:tcPr>
            <w:tcW w:type="dxa" w:w="2450"/>
            <w:vAlign w:val="center"/>
            <w:tcMar>
              <w:top w:w="80" w:type="dxa"/>
              <w:start w:w="120" w:type="dxa"/>
              <w:bottom w:w="80" w:type="dxa"/>
              <w:end w:w="120" w:type="dxa"/>
            </w:tcMar>
          </w:tcPr>
          <w:p>
            <w:pPr>
              <w:spacing w:after="20" w:line="252" w:lineRule="auto"/>
            </w:pPr>
            <w:r/>
            <w:r>
              <w:rPr>
                <w:rFonts w:ascii="Arial" w:hAnsi="Arial"/>
                <w:b w:val="0"/>
                <w:i w:val="0"/>
                <w:color w:val="000000"/>
                <w:sz w:val="18"/>
              </w:rPr>
              <w:t>RQ1 detailed findings / 2-REPORT</w:t>
            </w:r>
          </w:p>
        </w:tc>
        <w:tc>
          <w:tcPr>
            <w:tcW w:type="dxa" w:w="2050"/>
            <w:vAlign w:val="center"/>
            <w:tcMar>
              <w:top w:w="80" w:type="dxa"/>
              <w:start w:w="120" w:type="dxa"/>
              <w:bottom w:w="80" w:type="dxa"/>
              <w:end w:w="120" w:type="dxa"/>
            </w:tcMar>
          </w:tcPr>
          <w:p>
            <w:pPr>
              <w:spacing w:after="20" w:line="252" w:lineRule="auto"/>
            </w:pPr>
            <w:r/>
            <w:r>
              <w:rPr>
                <w:rFonts w:ascii="Arial" w:hAnsi="Arial"/>
                <w:b w:val="0"/>
                <w:i w:val="0"/>
                <w:color w:val="000000"/>
                <w:sz w:val="18"/>
              </w:rPr>
              <w:t>Yes; rank 4</w:t>
            </w:r>
          </w:p>
        </w:tc>
        <w:tc>
          <w:tcPr>
            <w:tcW w:type="dxa" w:w="4860"/>
            <w:vAlign w:val="center"/>
            <w:tcMar>
              <w:top w:w="80" w:type="dxa"/>
              <w:start w:w="120" w:type="dxa"/>
              <w:bottom w:w="80" w:type="dxa"/>
              <w:end w:w="120" w:type="dxa"/>
            </w:tcMar>
          </w:tcPr>
          <w:p>
            <w:pPr>
              <w:spacing w:after="20" w:line="252" w:lineRule="auto"/>
            </w:pPr>
            <w:r/>
            <w:r>
              <w:rPr>
                <w:rFonts w:ascii="Arial" w:hAnsi="Arial"/>
                <w:b w:val="0"/>
                <w:i w:val="0"/>
                <w:color w:val="000000"/>
                <w:sz w:val="18"/>
              </w:rPr>
              <w:t>The correct evidence is available, but not first-ranked.</w:t>
            </w:r>
          </w:p>
        </w:tc>
      </w:tr>
      <w:tr>
        <w:tc>
          <w:tcPr>
            <w:tcW w:type="dxa" w:w="2450"/>
            <w:vAlign w:val="center"/>
            <w:tcMar>
              <w:top w:w="80" w:type="dxa"/>
              <w:start w:w="120" w:type="dxa"/>
              <w:bottom w:w="80" w:type="dxa"/>
              <w:end w:w="120" w:type="dxa"/>
            </w:tcMar>
          </w:tcPr>
          <w:p>
            <w:pPr>
              <w:spacing w:after="20" w:line="252" w:lineRule="auto"/>
            </w:pPr>
            <w:r/>
            <w:r>
              <w:rPr>
                <w:rFonts w:ascii="Arial" w:hAnsi="Arial"/>
                <w:b w:val="0"/>
                <w:i w:val="0"/>
                <w:color w:val="000000"/>
                <w:sz w:val="18"/>
              </w:rPr>
              <w:t>RQ7 timeline / 4-REPORT</w:t>
            </w:r>
          </w:p>
        </w:tc>
        <w:tc>
          <w:tcPr>
            <w:tcW w:type="dxa" w:w="2050"/>
            <w:vAlign w:val="center"/>
            <w:tcMar>
              <w:top w:w="80" w:type="dxa"/>
              <w:start w:w="120" w:type="dxa"/>
              <w:bottom w:w="80" w:type="dxa"/>
              <w:end w:w="120" w:type="dxa"/>
            </w:tcMar>
          </w:tcPr>
          <w:p>
            <w:pPr>
              <w:spacing w:after="20" w:line="252" w:lineRule="auto"/>
            </w:pPr>
            <w:r/>
            <w:r>
              <w:rPr>
                <w:rFonts w:ascii="Arial" w:hAnsi="Arial"/>
                <w:b w:val="0"/>
                <w:i w:val="0"/>
                <w:color w:val="000000"/>
                <w:sz w:val="18"/>
              </w:rPr>
              <w:t>Yes; rank 1</w:t>
            </w:r>
          </w:p>
        </w:tc>
        <w:tc>
          <w:tcPr>
            <w:tcW w:type="dxa" w:w="4860"/>
            <w:vAlign w:val="center"/>
            <w:tcMar>
              <w:top w:w="80" w:type="dxa"/>
              <w:start w:w="120" w:type="dxa"/>
              <w:bottom w:w="80" w:type="dxa"/>
              <w:end w:w="120" w:type="dxa"/>
            </w:tcMar>
          </w:tcPr>
          <w:p>
            <w:pPr>
              <w:spacing w:after="20" w:line="252" w:lineRule="auto"/>
            </w:pPr>
            <w:r/>
            <w:r>
              <w:rPr>
                <w:rFonts w:ascii="Arial" w:hAnsi="Arial"/>
                <w:b w:val="0"/>
                <w:i w:val="0"/>
                <w:color w:val="000000"/>
                <w:sz w:val="18"/>
              </w:rPr>
              <w:t>A report-structure question can be efficiently answered.</w:t>
            </w:r>
          </w:p>
        </w:tc>
      </w:tr>
      <w:tr>
        <w:tc>
          <w:tcPr>
            <w:tcW w:type="dxa" w:w="2450"/>
            <w:vAlign w:val="center"/>
            <w:tcMar>
              <w:top w:w="80" w:type="dxa"/>
              <w:start w:w="120" w:type="dxa"/>
              <w:bottom w:w="80" w:type="dxa"/>
              <w:end w:w="120" w:type="dxa"/>
            </w:tcMar>
          </w:tcPr>
          <w:p>
            <w:pPr>
              <w:spacing w:after="20" w:line="252" w:lineRule="auto"/>
            </w:pPr>
            <w:r/>
            <w:r>
              <w:rPr>
                <w:rFonts w:ascii="Arial" w:hAnsi="Arial"/>
                <w:b w:val="0"/>
                <w:i w:val="0"/>
                <w:color w:val="000000"/>
                <w:sz w:val="18"/>
              </w:rPr>
              <w:t>RQ1 detailed findings / 4-REPORT</w:t>
            </w:r>
          </w:p>
        </w:tc>
        <w:tc>
          <w:tcPr>
            <w:tcW w:type="dxa" w:w="2050"/>
            <w:vAlign w:val="center"/>
            <w:tcMar>
              <w:top w:w="80" w:type="dxa"/>
              <w:start w:w="120" w:type="dxa"/>
              <w:bottom w:w="80" w:type="dxa"/>
              <w:end w:w="120" w:type="dxa"/>
            </w:tcMar>
          </w:tcPr>
          <w:p>
            <w:pPr>
              <w:spacing w:after="20" w:line="252" w:lineRule="auto"/>
            </w:pPr>
            <w:r/>
            <w:r>
              <w:rPr>
                <w:rFonts w:ascii="Arial" w:hAnsi="Arial"/>
                <w:b w:val="0"/>
                <w:i w:val="0"/>
                <w:color w:val="000000"/>
                <w:sz w:val="18"/>
              </w:rPr>
              <w:t>No; Recall@8 = 0</w:t>
            </w:r>
          </w:p>
        </w:tc>
        <w:tc>
          <w:tcPr>
            <w:tcW w:type="dxa" w:w="4860"/>
            <w:vAlign w:val="center"/>
            <w:tcMar>
              <w:top w:w="80" w:type="dxa"/>
              <w:start w:w="120" w:type="dxa"/>
              <w:bottom w:w="80" w:type="dxa"/>
              <w:end w:w="120" w:type="dxa"/>
            </w:tcMar>
          </w:tcPr>
          <w:p>
            <w:pPr>
              <w:spacing w:after="20" w:line="252" w:lineRule="auto"/>
            </w:pPr>
            <w:r/>
            <w:r>
              <w:rPr>
                <w:rFonts w:ascii="Arial" w:hAnsi="Arial"/>
                <w:b w:val="0"/>
                <w:i w:val="0"/>
                <w:color w:val="000000"/>
                <w:sz w:val="18"/>
              </w:rPr>
              <w:t>A correct answer may not prove retrieval success; inspect evidence separately.</w:t>
            </w:r>
          </w:p>
        </w:tc>
      </w:tr>
      <w:tr>
        <w:tc>
          <w:tcPr>
            <w:tcW w:type="dxa" w:w="2450"/>
            <w:vAlign w:val="center"/>
            <w:tcMar>
              <w:top w:w="80" w:type="dxa"/>
              <w:start w:w="120" w:type="dxa"/>
              <w:bottom w:w="80" w:type="dxa"/>
              <w:end w:w="120" w:type="dxa"/>
            </w:tcMar>
          </w:tcPr>
          <w:p>
            <w:pPr>
              <w:spacing w:after="20" w:line="252" w:lineRule="auto"/>
            </w:pPr>
            <w:r/>
            <w:r>
              <w:rPr>
                <w:rFonts w:ascii="Arial" w:hAnsi="Arial"/>
                <w:b w:val="0"/>
                <w:i w:val="0"/>
                <w:color w:val="000000"/>
                <w:sz w:val="18"/>
              </w:rPr>
              <w:t>RQ5 remediation / 4-REPORT</w:t>
            </w:r>
          </w:p>
        </w:tc>
        <w:tc>
          <w:tcPr>
            <w:tcW w:type="dxa" w:w="2050"/>
            <w:vAlign w:val="center"/>
            <w:tcMar>
              <w:top w:w="80" w:type="dxa"/>
              <w:start w:w="120" w:type="dxa"/>
              <w:bottom w:w="80" w:type="dxa"/>
              <w:end w:w="120" w:type="dxa"/>
            </w:tcMar>
          </w:tcPr>
          <w:p>
            <w:pPr>
              <w:spacing w:after="20" w:line="252" w:lineRule="auto"/>
            </w:pPr>
            <w:r/>
            <w:r>
              <w:rPr>
                <w:rFonts w:ascii="Arial" w:hAnsi="Arial"/>
                <w:b w:val="0"/>
                <w:i w:val="0"/>
                <w:color w:val="000000"/>
                <w:sz w:val="18"/>
              </w:rPr>
              <w:t>No; Recall@8 = 0</w:t>
            </w:r>
          </w:p>
        </w:tc>
        <w:tc>
          <w:tcPr>
            <w:tcW w:type="dxa" w:w="4860"/>
            <w:vAlign w:val="center"/>
            <w:tcMar>
              <w:top w:w="80" w:type="dxa"/>
              <w:start w:w="120" w:type="dxa"/>
              <w:bottom w:w="80" w:type="dxa"/>
              <w:end w:w="120" w:type="dxa"/>
            </w:tcMar>
          </w:tcPr>
          <w:p>
            <w:pPr>
              <w:spacing w:after="20" w:line="252" w:lineRule="auto"/>
            </w:pPr>
            <w:r/>
            <w:r>
              <w:rPr>
                <w:rFonts w:ascii="Arial" w:hAnsi="Arial"/>
                <w:b w:val="0"/>
                <w:i w:val="0"/>
                <w:color w:val="000000"/>
                <w:sz w:val="18"/>
              </w:rPr>
              <w:t>Second concrete recall miss requiring chunk/query review.</w:t>
            </w:r>
          </w:p>
        </w:tc>
      </w:tr>
    </w:tbl>
    <w:p>
      <w:pPr>
        <w:spacing w:after="20"/>
      </w:pPr>
    </w:p>
    <w:p>
      <w:pPr>
        <w:pStyle w:val="Heading1"/>
      </w:pPr>
      <w:r>
        <w:t>Evaluation judgement</w:t>
      </w:r>
    </w:p>
    <w:p>
      <w:pPr>
        <w:spacing w:after="120" w:line="276" w:lineRule="auto"/>
      </w:pPr>
      <w:r>
        <w:rPr>
          <w:rFonts w:ascii="Arial" w:hAnsi="Arial"/>
          <w:b w:val="0"/>
          <w:i w:val="0"/>
          <w:color w:val="000000"/>
          <w:sz w:val="21"/>
        </w:rPr>
        <w:t>The retrieval result is mixed but informative: Recall@8 is 87.50%, while MRR is 0.2781 and nDCG@8 is 0.4212. The evidence is usually somewhere in the eight returned chunks, but often not near the top. This is a real limitation for an audit assessor because extra context increases the chance of the generator selecting an irrelevant statement. [E5]</w:t>
      </w:r>
    </w:p>
    <w:p>
      <w:pPr>
        <w:spacing w:after="120" w:line="276" w:lineRule="auto"/>
      </w:pPr>
      <w:r>
        <w:rPr>
          <w:rFonts w:ascii="Arial" w:hAnsi="Arial"/>
          <w:b w:val="0"/>
          <w:i w:val="0"/>
          <w:color w:val="000000"/>
          <w:sz w:val="21"/>
        </w:rPr>
        <w:t>Hybrid retrieval is retained only as the better end-to-end control configuration: it improved accuracy to 62.50% and grounding to 100.00%, compared with dense-only 50.00% and 87.50%. These figures do not prove it is universally best; they justify the current POC choice and define the next ablation. [E10]</w:t>
      </w:r>
    </w:p>
    <w:p>
      <w:pPr>
        <w:pStyle w:val="Heading1"/>
      </w:pPr>
      <w:r>
        <w:t>Reviewer inspection protocol</w:t>
      </w:r>
    </w:p>
    <w:p>
      <w:pPr>
        <w:spacing w:after="120" w:line="276" w:lineRule="auto"/>
      </w:pPr>
      <w:r>
        <w:rPr>
          <w:rFonts w:ascii="Arial" w:hAnsi="Arial"/>
          <w:b w:val="0"/>
          <w:i w:val="0"/>
          <w:color w:val="000000"/>
          <w:sz w:val="21"/>
        </w:rPr>
        <w:t>For each benchmark question, the reviewer should inspect three records together: the source-derived gold chunk ID, the returned top-eight chunk IDs and scores, and the final answer/cited evidence. This distinguishes a retrieval failure from a generation failure. The run has both cases: RQ1 and RQ5 for 4-REPORT miss the labelled evidence, while the final score can still look strong. [E4][E5]</w:t>
      </w:r>
    </w:p>
    <w:p>
      <w:pPr>
        <w:spacing w:after="120" w:line="276" w:lineRule="auto"/>
      </w:pPr>
      <w:r>
        <w:rPr>
          <w:rFonts w:ascii="Arial" w:hAnsi="Arial"/>
          <w:b w:val="0"/>
          <w:i w:val="0"/>
          <w:color w:val="000000"/>
          <w:sz w:val="21"/>
        </w:rPr>
        <w:t>The reported precision is deliberately low because one or a few gold chunks are compared with eight returned candidates. It should therefore not be read as eight irrelevant passages; it is a ranking diagnostic that shows how much non-gold context was passed to the model. The next practical improvement is reranking or reduced evidence packing, evaluated on independently labelled evidence spans. [E5][E8]</w:t>
      </w:r>
    </w:p>
    <w:p>
      <w:pPr>
        <w:spacing w:after="120" w:line="276" w:lineRule="auto"/>
      </w:pPr>
      <w:r>
        <w:rPr>
          <w:rFonts w:ascii="Arial" w:hAnsi="Arial"/>
          <w:b w:val="0"/>
          <w:i w:val="0"/>
          <w:color w:val="000000"/>
          <w:sz w:val="21"/>
        </w:rPr>
        <w:t>The conclusion is appropriately cautious: retrieval is functional and measurable, not yet accurate enough to be invisible in the final decision. The submission preserves the exact failure cases so an evaluator can challenge the claimed score with primary output rather than accepting a summary metric. [E5]</w:t>
      </w:r>
    </w:p>
    <w:p>
      <w:pPr>
        <w:pStyle w:val="Heading1"/>
      </w:pPr>
      <w:r>
        <w:t>Repository evidence cited</w:t>
      </w:r>
    </w:p>
    <w:p>
      <w:pPr>
        <w:pStyle w:val="ListBullet"/>
        <w:spacing w:after="60" w:line="264" w:lineRule="auto"/>
      </w:pPr>
      <w:r>
        <w:rPr>
          <w:rFonts w:ascii="Arial" w:hAnsi="Arial"/>
          <w:b w:val="0"/>
          <w:i w:val="0"/>
          <w:color w:val="000000"/>
          <w:sz w:val="20"/>
        </w:rPr>
        <w:t>[E4] results/production_real_reports/1787846335_de0ded86a7db/run_config.json and run.log: two-report production-parser run configuration and execution log.</w:t>
      </w:r>
    </w:p>
    <w:p>
      <w:pPr>
        <w:pStyle w:val="ListBullet"/>
        <w:spacing w:after="60" w:line="264" w:lineRule="auto"/>
      </w:pPr>
      <w:r>
        <w:rPr>
          <w:rFonts w:ascii="Arial" w:hAnsi="Arial"/>
          <w:b w:val="0"/>
          <w:i w:val="0"/>
          <w:color w:val="000000"/>
          <w:sz w:val="20"/>
        </w:rPr>
        <w:t>[E5] results/production_real_reports/1787846335_de0ded86a7db/{retrieval_metrics,question_level_llm_metrics,sota_faithfulness_metrics,audit_level_scores}.json: scored metrics and audit decisions.</w:t>
      </w:r>
    </w:p>
    <w:p>
      <w:pPr>
        <w:pStyle w:val="ListBullet"/>
        <w:spacing w:after="60" w:line="264" w:lineRule="auto"/>
      </w:pPr>
      <w:r>
        <w:rPr>
          <w:rFonts w:ascii="Arial" w:hAnsi="Arial"/>
          <w:b w:val="0"/>
          <w:i w:val="0"/>
          <w:color w:val="000000"/>
          <w:sz w:val="20"/>
        </w:rPr>
        <w:t>[E6] sample_data/{2-report.json,4-report.json,real_reports_benchmark_questions.json}: source reports and eight source-derived questions per report.</w:t>
      </w:r>
    </w:p>
    <w:p>
      <w:pPr>
        <w:pStyle w:val="ListBullet"/>
        <w:spacing w:after="60" w:line="264" w:lineRule="auto"/>
      </w:pPr>
      <w:r>
        <w:rPr>
          <w:rFonts w:ascii="Arial" w:hAnsi="Arial"/>
          <w:b w:val="0"/>
          <w:i w:val="0"/>
          <w:color w:val="000000"/>
          <w:sz w:val="20"/>
        </w:rPr>
        <w:t>[E10] results/final_validation/VALIDATION_SUMMARY.md and its cited run directories: controlled local LLM, ICL, prompt, retrieval, CRAG, chunking and chunk-parameter comparisons completed 28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000000"/>
        <w:sz w:val="17"/>
      </w:rPr>
      <w:t>D05 Retrieval Evaluation and Cases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000000"/>
        <w:sz w:val="17"/>
      </w:rPr>
      <w:t>Objective 3 | AI-Based Cyber Security Audit Assessment Against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