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D7. Integrated RAG-Based Audit Assessment Chatbot</w:t>
      </w:r>
    </w:p>
    <w:p>
      <w:pPr>
        <w:spacing w:after="280"/>
      </w:pPr>
      <w:r>
        <w:rPr>
          <w:rFonts w:ascii="Arial" w:hAnsi="Arial"/>
          <w:b w:val="0"/>
          <w:i/>
          <w:color w:val="000000"/>
          <w:sz w:val="22"/>
        </w:rPr>
        <w:t>Functional prototype description and verification record.</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Prototype architecture</w:t>
      </w:r>
    </w:p>
    <w:tbl>
      <w:tblPr>
        <w:tblStyle w:val="TableGrid"/>
        <w:tblW w:type="dxa" w:w="9360"/>
        <w:tblLayout w:type="fixed"/>
        <w:tblLook w:firstColumn="1" w:firstRow="1" w:lastColumn="0" w:lastRow="0" w:noHBand="0" w:noVBand="1" w:val="04A0"/>
        <w:tblInd w:w="120" w:type="dxa"/>
      </w:tblPr>
      <w:tblGrid>
        <w:gridCol w:w="1200"/>
        <w:gridCol w:w="2600"/>
        <w:gridCol w:w="5560"/>
      </w:tblGrid>
      <w:tr>
        <w:tc>
          <w:tcPr>
            <w:tcW w:type="dxa" w:w="1200"/>
            <w:vAlign w:val="center"/>
            <w:tcMar>
              <w:top w:w="80" w:type="dxa"/>
              <w:start w:w="120" w:type="dxa"/>
              <w:bottom w:w="80" w:type="dxa"/>
              <w:end w:w="120" w:type="dxa"/>
            </w:tcMar>
          </w:tcPr>
          <w:p>
            <w:pPr>
              <w:spacing w:after="20"/>
            </w:pPr>
            <w:r/>
            <w:r>
              <w:rPr>
                <w:rFonts w:ascii="Arial" w:hAnsi="Arial"/>
                <w:b/>
                <w:i w:val="0"/>
                <w:color w:val="000000"/>
                <w:sz w:val="18"/>
              </w:rPr>
              <w:t>Stage</w:t>
            </w:r>
          </w:p>
        </w:tc>
        <w:tc>
          <w:tcPr>
            <w:tcW w:type="dxa" w:w="2600"/>
            <w:vAlign w:val="center"/>
            <w:tcMar>
              <w:top w:w="80" w:type="dxa"/>
              <w:start w:w="120" w:type="dxa"/>
              <w:bottom w:w="80" w:type="dxa"/>
              <w:end w:w="120" w:type="dxa"/>
            </w:tcMar>
          </w:tcPr>
          <w:p>
            <w:pPr>
              <w:spacing w:after="20"/>
            </w:pPr>
            <w:r/>
            <w:r>
              <w:rPr>
                <w:rFonts w:ascii="Arial" w:hAnsi="Arial"/>
                <w:b/>
                <w:i w:val="0"/>
                <w:color w:val="000000"/>
                <w:sz w:val="18"/>
              </w:rPr>
              <w:t>Responsible module</w:t>
            </w:r>
          </w:p>
        </w:tc>
        <w:tc>
          <w:tcPr>
            <w:tcW w:type="dxa" w:w="5560"/>
            <w:vAlign w:val="center"/>
            <w:tcMar>
              <w:top w:w="80" w:type="dxa"/>
              <w:start w:w="120" w:type="dxa"/>
              <w:bottom w:w="80" w:type="dxa"/>
              <w:end w:w="120" w:type="dxa"/>
            </w:tcMar>
          </w:tcPr>
          <w:p>
            <w:pPr>
              <w:spacing w:after="20"/>
            </w:pPr>
            <w:r/>
            <w:r>
              <w:rPr>
                <w:rFonts w:ascii="Arial" w:hAnsi="Arial"/>
                <w:b/>
                <w:i w:val="0"/>
                <w:color w:val="000000"/>
                <w:sz w:val="18"/>
              </w:rPr>
              <w:t>What it contributes</w:t>
            </w:r>
          </w:p>
        </w:tc>
      </w:tr>
      <w:tr>
        <w:tc>
          <w:tcPr>
            <w:tcW w:type="dxa" w:w="1200"/>
            <w:vAlign w:val="center"/>
            <w:tcMar>
              <w:top w:w="80" w:type="dxa"/>
              <w:start w:w="120" w:type="dxa"/>
              <w:bottom w:w="80" w:type="dxa"/>
              <w:end w:w="120" w:type="dxa"/>
            </w:tcMar>
          </w:tcPr>
          <w:p>
            <w:pPr>
              <w:spacing w:after="20" w:line="252" w:lineRule="auto"/>
            </w:pPr>
            <w:r/>
            <w:r>
              <w:rPr>
                <w:rFonts w:ascii="Arial" w:hAnsi="Arial"/>
                <w:b w:val="0"/>
                <w:i w:val="0"/>
                <w:color w:val="000000"/>
                <w:sz w:val="18"/>
              </w:rPr>
              <w:t>Parse</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docling_parser.py</w:t>
            </w:r>
          </w:p>
        </w:tc>
        <w:tc>
          <w:tcPr>
            <w:tcW w:type="dxa" w:w="5560"/>
            <w:vAlign w:val="center"/>
            <w:tcMar>
              <w:top w:w="80" w:type="dxa"/>
              <w:start w:w="120" w:type="dxa"/>
              <w:bottom w:w="80" w:type="dxa"/>
              <w:end w:w="120" w:type="dxa"/>
            </w:tcMar>
          </w:tcPr>
          <w:p>
            <w:pPr>
              <w:spacing w:after="20" w:line="252" w:lineRule="auto"/>
            </w:pPr>
            <w:r/>
            <w:r>
              <w:rPr>
                <w:rFonts w:ascii="Arial" w:hAnsi="Arial"/>
                <w:b w:val="0"/>
                <w:i w:val="0"/>
                <w:color w:val="000000"/>
                <w:sz w:val="18"/>
              </w:rPr>
              <w:t>Preserves report text and provenance paths</w:t>
            </w:r>
          </w:p>
        </w:tc>
      </w:tr>
      <w:tr>
        <w:tc>
          <w:tcPr>
            <w:tcW w:type="dxa" w:w="120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Retrieve</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chunking.py + embed_index.py</w:t>
            </w:r>
          </w:p>
        </w:tc>
        <w:tc>
          <w:tcPr>
            <w:tcW w:type="dxa" w:w="5560"/>
            <w:vAlign w:val="center"/>
            <w:tcMar>
              <w:top w:w="80" w:type="dxa"/>
              <w:start w:w="120" w:type="dxa"/>
              <w:bottom w:w="80" w:type="dxa"/>
              <w:end w:w="120" w:type="dxa"/>
            </w:tcMar>
          </w:tcPr>
          <w:p>
            <w:pPr>
              <w:spacing w:after="20" w:line="252" w:lineRule="auto"/>
            </w:pPr>
            <w:r/>
            <w:r>
              <w:rPr>
                <w:rFonts w:ascii="Arial" w:hAnsi="Arial"/>
                <w:b w:val="0"/>
                <w:i w:val="0"/>
                <w:color w:val="000000"/>
                <w:sz w:val="18"/>
              </w:rPr>
              <w:t>Builds chunks and hybrid evidence candidates</w:t>
            </w:r>
          </w:p>
        </w:tc>
      </w:tr>
      <w:tr>
        <w:tc>
          <w:tcPr>
            <w:tcW w:type="dxa" w:w="1200"/>
            <w:vAlign w:val="center"/>
            <w:tcMar>
              <w:top w:w="80" w:type="dxa"/>
              <w:start w:w="120" w:type="dxa"/>
              <w:bottom w:w="80" w:type="dxa"/>
              <w:end w:w="120" w:type="dxa"/>
            </w:tcMar>
          </w:tcPr>
          <w:p>
            <w:pPr>
              <w:spacing w:after="20" w:line="252" w:lineRule="auto"/>
            </w:pPr>
            <w:r/>
            <w:r>
              <w:rPr>
                <w:rFonts w:ascii="Arial" w:hAnsi="Arial"/>
                <w:b w:val="0"/>
                <w:i w:val="0"/>
                <w:color w:val="000000"/>
                <w:sz w:val="18"/>
              </w:rPr>
              <w:t>Assess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pipeline.py + prompts.py</w:t>
            </w:r>
          </w:p>
        </w:tc>
        <w:tc>
          <w:tcPr>
            <w:tcW w:type="dxa" w:w="5560"/>
            <w:vAlign w:val="center"/>
            <w:tcMar>
              <w:top w:w="80" w:type="dxa"/>
              <w:start w:w="120" w:type="dxa"/>
              <w:bottom w:w="80" w:type="dxa"/>
              <w:end w:w="120" w:type="dxa"/>
            </w:tcMar>
          </w:tcPr>
          <w:p>
            <w:pPr>
              <w:spacing w:after="20" w:line="252" w:lineRule="auto"/>
            </w:pPr>
            <w:r/>
            <w:r>
              <w:rPr>
                <w:rFonts w:ascii="Arial" w:hAnsi="Arial"/>
                <w:b w:val="0"/>
                <w:i w:val="0"/>
                <w:color w:val="000000"/>
                <w:sz w:val="18"/>
              </w:rPr>
              <w:t>Routes question and obtains structured local answer</w:t>
            </w:r>
          </w:p>
        </w:tc>
      </w:tr>
      <w:tr>
        <w:tc>
          <w:tcPr>
            <w:tcW w:type="dxa" w:w="1200"/>
            <w:vAlign w:val="center"/>
            <w:tcMar>
              <w:top w:w="80" w:type="dxa"/>
              <w:start w:w="120" w:type="dxa"/>
              <w:bottom w:w="80" w:type="dxa"/>
              <w:end w:w="120" w:type="dxa"/>
            </w:tcMar>
          </w:tcPr>
          <w:p>
            <w:pPr>
              <w:spacing w:after="20" w:line="252" w:lineRule="auto"/>
            </w:pPr>
            <w:r/>
            <w:r>
              <w:rPr>
                <w:rFonts w:ascii="Arial" w:hAnsi="Arial"/>
                <w:b w:val="0"/>
                <w:i w:val="0"/>
                <w:color w:val="000000"/>
                <w:sz w:val="18"/>
              </w:rPr>
              <w:t>Guard</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adaptive_rag.py</w:t>
            </w:r>
          </w:p>
        </w:tc>
        <w:tc>
          <w:tcPr>
            <w:tcW w:type="dxa" w:w="5560"/>
            <w:vAlign w:val="center"/>
            <w:tcMar>
              <w:top w:w="80" w:type="dxa"/>
              <w:start w:w="120" w:type="dxa"/>
              <w:bottom w:w="80" w:type="dxa"/>
              <w:end w:w="120" w:type="dxa"/>
            </w:tcMar>
          </w:tcPr>
          <w:p>
            <w:pPr>
              <w:spacing w:after="20" w:line="252" w:lineRule="auto"/>
            </w:pPr>
            <w:r/>
            <w:r>
              <w:rPr>
                <w:rFonts w:ascii="Arial" w:hAnsi="Arial"/>
                <w:b w:val="0"/>
                <w:i w:val="0"/>
                <w:color w:val="000000"/>
                <w:sz w:val="18"/>
              </w:rPr>
              <w:t>Validates citation/evidence controls and source safety</w:t>
            </w:r>
          </w:p>
        </w:tc>
      </w:tr>
      <w:tr>
        <w:tc>
          <w:tcPr>
            <w:tcW w:type="dxa" w:w="1200"/>
            <w:vAlign w:val="center"/>
            <w:tcMar>
              <w:top w:w="80" w:type="dxa"/>
              <w:start w:w="120" w:type="dxa"/>
              <w:bottom w:w="80" w:type="dxa"/>
              <w:end w:w="120" w:type="dxa"/>
            </w:tcMar>
          </w:tcPr>
          <w:p>
            <w:pPr>
              <w:spacing w:after="20" w:line="252" w:lineRule="auto"/>
            </w:pPr>
            <w:r/>
            <w:r>
              <w:rPr>
                <w:rFonts w:ascii="Arial" w:hAnsi="Arial"/>
                <w:b w:val="0"/>
                <w:i w:val="0"/>
                <w:color w:val="000000"/>
                <w:sz w:val="18"/>
              </w:rPr>
              <w:t>Score</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evaluation_harness.py</w:t>
            </w:r>
          </w:p>
        </w:tc>
        <w:tc>
          <w:tcPr>
            <w:tcW w:type="dxa" w:w="5560"/>
            <w:vAlign w:val="center"/>
            <w:tcMar>
              <w:top w:w="80" w:type="dxa"/>
              <w:start w:w="120" w:type="dxa"/>
              <w:bottom w:w="80" w:type="dxa"/>
              <w:end w:w="120" w:type="dxa"/>
            </w:tcMar>
          </w:tcPr>
          <w:p>
            <w:pPr>
              <w:spacing w:after="20" w:line="252" w:lineRule="auto"/>
            </w:pPr>
            <w:r/>
            <w:r>
              <w:rPr>
                <w:rFonts w:ascii="Arial" w:hAnsi="Arial"/>
                <w:b w:val="0"/>
                <w:i w:val="0"/>
                <w:color w:val="000000"/>
                <w:sz w:val="18"/>
              </w:rPr>
              <w:t>Records results and creates audit decision</w:t>
            </w:r>
          </w:p>
        </w:tc>
      </w:tr>
    </w:tbl>
    <w:p>
      <w:pPr>
        <w:spacing w:after="20"/>
      </w:pPr>
    </w:p>
    <w:p>
      <w:pPr>
        <w:pStyle w:val="Heading1"/>
      </w:pPr>
      <w:r>
        <w:t>Why this is a genuine integrated prototype</w:t>
      </w:r>
    </w:p>
    <w:p>
      <w:pPr>
        <w:spacing w:after="120" w:line="276" w:lineRule="auto"/>
      </w:pPr>
      <w:r>
        <w:rPr>
          <w:rFonts w:ascii="Arial" w:hAnsi="Arial"/>
          <w:b w:val="0"/>
          <w:i w:val="0"/>
          <w:color w:val="000000"/>
          <w:sz w:val="21"/>
        </w:rPr>
        <w:t>The demonstration is not a disconnected collection of utilities. One run starts from supplied JSON reports, generates evidence-bearing question responses, calculates retrieval and answer measures, and writes audit-level PASS/FAIL outputs. The two-report run completed all 16 pairs with its configuration and source hashes saved. [E4][E5]</w:t>
      </w:r>
    </w:p>
    <w:p>
      <w:pPr>
        <w:spacing w:after="120" w:line="276" w:lineRule="auto"/>
      </w:pPr>
      <w:r>
        <w:rPr>
          <w:rFonts w:ascii="Arial" w:hAnsi="Arial"/>
          <w:b w:val="0"/>
          <w:i w:val="0"/>
          <w:color w:val="000000"/>
          <w:sz w:val="21"/>
        </w:rPr>
        <w:t>The local-first stack is suitable for sensitive reports: Python performs parsing/indexing/evaluation, FAISS and BM25 perform retrieval, and Ollama serves the generator locally. The design can be inspected component by component if an audit decision is challenged. [E4][E8][E9]</w:t>
      </w:r>
    </w:p>
    <w:p>
      <w:pPr>
        <w:pStyle w:val="Heading1"/>
      </w:pPr>
      <w:r>
        <w:t>Prototype scope</w:t>
      </w:r>
    </w:p>
    <w:p>
      <w:pPr>
        <w:spacing w:after="120" w:line="276" w:lineRule="auto"/>
      </w:pPr>
      <w:r>
        <w:rPr>
          <w:rFonts w:ascii="Arial" w:hAnsi="Arial"/>
          <w:b w:val="0"/>
          <w:i w:val="0"/>
          <w:color w:val="000000"/>
          <w:sz w:val="21"/>
        </w:rPr>
        <w:t>AuditAssessmentPipeline accepts an audit report, a benchmark question and configuration. It returns retrieved evidence IDs/scores, response text, structured answer, CRAG state, grounding state, review flags and configuration metadata. [E8]</w:t>
      </w:r>
    </w:p>
    <w:p>
      <w:pPr>
        <w:spacing w:after="120" w:line="276" w:lineRule="auto"/>
      </w:pPr>
      <w:r>
        <w:rPr>
          <w:rFonts w:ascii="Arial" w:hAnsi="Arial"/>
          <w:b w:val="0"/>
          <w:i w:val="0"/>
          <w:color w:val="000000"/>
          <w:sz w:val="21"/>
        </w:rPr>
        <w:t>The prototype is local-first: Ollama is used for generation, and the repository does not require upload of project audit data to a cloud API. [E8]</w:t>
      </w:r>
    </w:p>
    <w:p>
      <w:pPr>
        <w:pStyle w:val="Heading1"/>
      </w:pPr>
      <w:r>
        <w:t>End-to-end flow</w:t>
      </w:r>
    </w:p>
    <w:tbl>
      <w:tblPr>
        <w:tblStyle w:val="TableGrid"/>
        <w:tblW w:type="dxa" w:w="9360"/>
        <w:tblLayout w:type="fixed"/>
        <w:tblLook w:firstColumn="1" w:firstRow="1" w:lastColumn="0" w:lastRow="0" w:noHBand="0" w:noVBand="1" w:val="04A0"/>
        <w:tblInd w:w="120" w:type="dxa"/>
      </w:tblPr>
      <w:tblGrid>
        <w:gridCol w:w="700"/>
        <w:gridCol w:w="3000"/>
        <w:gridCol w:w="5660"/>
      </w:tblGrid>
      <w:tr>
        <w:tc>
          <w:tcPr>
            <w:tcW w:type="dxa" w:w="700"/>
            <w:vAlign w:val="center"/>
            <w:tcMar>
              <w:top w:w="80" w:type="dxa"/>
              <w:start w:w="120" w:type="dxa"/>
              <w:bottom w:w="80" w:type="dxa"/>
              <w:end w:w="120" w:type="dxa"/>
            </w:tcMar>
          </w:tcPr>
          <w:p>
            <w:pPr>
              <w:spacing w:after="20"/>
            </w:pPr>
            <w:r/>
            <w:r>
              <w:rPr>
                <w:rFonts w:ascii="Arial" w:hAnsi="Arial"/>
                <w:b/>
                <w:i w:val="0"/>
                <w:color w:val="000000"/>
                <w:sz w:val="18"/>
              </w:rPr>
              <w:t>Step</w:t>
            </w:r>
          </w:p>
        </w:tc>
        <w:tc>
          <w:tcPr>
            <w:tcW w:type="dxa" w:w="3000"/>
            <w:vAlign w:val="center"/>
            <w:tcMar>
              <w:top w:w="80" w:type="dxa"/>
              <w:start w:w="120" w:type="dxa"/>
              <w:bottom w:w="80" w:type="dxa"/>
              <w:end w:w="120" w:type="dxa"/>
            </w:tcMar>
          </w:tcPr>
          <w:p>
            <w:pPr>
              <w:spacing w:after="20"/>
            </w:pPr>
            <w:r/>
            <w:r>
              <w:rPr>
                <w:rFonts w:ascii="Arial" w:hAnsi="Arial"/>
                <w:b/>
                <w:i w:val="0"/>
                <w:color w:val="000000"/>
                <w:sz w:val="18"/>
              </w:rPr>
              <w:t>Component</w:t>
            </w:r>
          </w:p>
        </w:tc>
        <w:tc>
          <w:tcPr>
            <w:tcW w:type="dxa" w:w="5660"/>
            <w:vAlign w:val="center"/>
            <w:tcMar>
              <w:top w:w="80" w:type="dxa"/>
              <w:start w:w="120" w:type="dxa"/>
              <w:bottom w:w="80" w:type="dxa"/>
              <w:end w:w="120" w:type="dxa"/>
            </w:tcMar>
          </w:tcPr>
          <w:p>
            <w:pPr>
              <w:spacing w:after="20"/>
            </w:pPr>
            <w:r/>
            <w:r>
              <w:rPr>
                <w:rFonts w:ascii="Arial" w:hAnsi="Arial"/>
                <w:b/>
                <w:i w:val="0"/>
                <w:color w:val="000000"/>
                <w:sz w:val="18"/>
              </w:rPr>
              <w:t>Output / control</w:t>
            </w:r>
          </w:p>
        </w:tc>
      </w:tr>
      <w:tr>
        <w:tc>
          <w:tcPr>
            <w:tcW w:type="dxa" w:w="700"/>
            <w:vAlign w:val="center"/>
            <w:tcMar>
              <w:top w:w="80" w:type="dxa"/>
              <w:start w:w="120" w:type="dxa"/>
              <w:bottom w:w="80" w:type="dxa"/>
              <w:end w:w="120" w:type="dxa"/>
            </w:tcMar>
          </w:tcPr>
          <w:p>
            <w:pPr>
              <w:spacing w:after="20" w:line="252" w:lineRule="auto"/>
            </w:pPr>
            <w:r/>
            <w:r>
              <w:rPr>
                <w:rFonts w:ascii="Arial" w:hAnsi="Arial"/>
                <w:b w:val="0"/>
                <w:i w:val="0"/>
                <w:color w:val="000000"/>
                <w:sz w:val="18"/>
              </w:rPr>
              <w:t>1</w:t>
            </w:r>
          </w:p>
        </w:tc>
        <w:tc>
          <w:tcPr>
            <w:tcW w:type="dxa" w:w="3000"/>
            <w:vAlign w:val="center"/>
            <w:tcMar>
              <w:top w:w="80" w:type="dxa"/>
              <w:start w:w="120" w:type="dxa"/>
              <w:bottom w:w="80" w:type="dxa"/>
              <w:end w:w="120" w:type="dxa"/>
            </w:tcMar>
          </w:tcPr>
          <w:p>
            <w:pPr>
              <w:spacing w:after="20" w:line="252" w:lineRule="auto"/>
            </w:pPr>
            <w:r/>
            <w:r>
              <w:rPr>
                <w:rFonts w:ascii="Arial" w:hAnsi="Arial"/>
                <w:b w:val="0"/>
                <w:i w:val="0"/>
                <w:color w:val="000000"/>
                <w:sz w:val="18"/>
              </w:rPr>
              <w:t>Parser and preprocessing</w:t>
            </w:r>
          </w:p>
        </w:tc>
        <w:tc>
          <w:tcPr>
            <w:tcW w:type="dxa" w:w="5660"/>
            <w:vAlign w:val="center"/>
            <w:tcMar>
              <w:top w:w="80" w:type="dxa"/>
              <w:start w:w="120" w:type="dxa"/>
              <w:bottom w:w="80" w:type="dxa"/>
              <w:end w:w="120" w:type="dxa"/>
            </w:tcMar>
          </w:tcPr>
          <w:p>
            <w:pPr>
              <w:spacing w:after="20" w:line="252" w:lineRule="auto"/>
            </w:pPr>
            <w:r/>
            <w:r>
              <w:rPr>
                <w:rFonts w:ascii="Arial" w:hAnsi="Arial"/>
                <w:b w:val="0"/>
                <w:i w:val="0"/>
                <w:color w:val="000000"/>
                <w:sz w:val="18"/>
              </w:rPr>
              <w:t>Provenance-labelled text; image/figure keys excluded [E8]</w:t>
            </w:r>
          </w:p>
        </w:tc>
      </w:tr>
      <w:tr>
        <w:tc>
          <w:tcPr>
            <w:tcW w:type="dxa" w:w="700"/>
            <w:vAlign w:val="center"/>
            <w:tcMar>
              <w:top w:w="80" w:type="dxa"/>
              <w:start w:w="120" w:type="dxa"/>
              <w:bottom w:w="80" w:type="dxa"/>
              <w:end w:w="120" w:type="dxa"/>
            </w:tcMar>
          </w:tcPr>
          <w:p>
            <w:pPr>
              <w:spacing w:after="20" w:line="252" w:lineRule="auto"/>
            </w:pPr>
            <w:r/>
            <w:r>
              <w:rPr>
                <w:rFonts w:ascii="Arial" w:hAnsi="Arial"/>
                <w:b w:val="0"/>
                <w:i w:val="0"/>
                <w:color w:val="000000"/>
                <w:sz w:val="18"/>
              </w:rPr>
              <w:t>2</w:t>
            </w:r>
          </w:p>
        </w:tc>
        <w:tc>
          <w:tcPr>
            <w:tcW w:type="dxa" w:w="3000"/>
            <w:vAlign w:val="center"/>
            <w:tcMar>
              <w:top w:w="80" w:type="dxa"/>
              <w:start w:w="120" w:type="dxa"/>
              <w:bottom w:w="80" w:type="dxa"/>
              <w:end w:w="120" w:type="dxa"/>
            </w:tcMar>
          </w:tcPr>
          <w:p>
            <w:pPr>
              <w:spacing w:after="20" w:line="252" w:lineRule="auto"/>
            </w:pPr>
            <w:r/>
            <w:r>
              <w:rPr>
                <w:rFonts w:ascii="Arial" w:hAnsi="Arial"/>
                <w:b w:val="0"/>
                <w:i w:val="0"/>
                <w:color w:val="000000"/>
                <w:sz w:val="18"/>
              </w:rPr>
              <w:t>Chunking and hybrid index</w:t>
            </w:r>
          </w:p>
        </w:tc>
        <w:tc>
          <w:tcPr>
            <w:tcW w:type="dxa" w:w="5660"/>
            <w:vAlign w:val="center"/>
            <w:tcMar>
              <w:top w:w="80" w:type="dxa"/>
              <w:start w:w="120" w:type="dxa"/>
              <w:bottom w:w="80" w:type="dxa"/>
              <w:end w:w="120" w:type="dxa"/>
            </w:tcMar>
          </w:tcPr>
          <w:p>
            <w:pPr>
              <w:spacing w:after="20" w:line="252" w:lineRule="auto"/>
            </w:pPr>
            <w:r/>
            <w:r>
              <w:rPr>
                <w:rFonts w:ascii="Arial" w:hAnsi="Arial"/>
                <w:b w:val="0"/>
                <w:i w:val="0"/>
                <w:color w:val="000000"/>
                <w:sz w:val="18"/>
              </w:rPr>
              <w:t>Stable chunks; dense + BM25 candidates [E8]</w:t>
            </w:r>
          </w:p>
        </w:tc>
      </w:tr>
      <w:tr>
        <w:tc>
          <w:tcPr>
            <w:tcW w:type="dxa" w:w="700"/>
            <w:vAlign w:val="center"/>
            <w:tcMar>
              <w:top w:w="80" w:type="dxa"/>
              <w:start w:w="120" w:type="dxa"/>
              <w:bottom w:w="80" w:type="dxa"/>
              <w:end w:w="120" w:type="dxa"/>
            </w:tcMar>
          </w:tcPr>
          <w:p>
            <w:pPr>
              <w:spacing w:after="20" w:line="252" w:lineRule="auto"/>
            </w:pPr>
            <w:r/>
            <w:r>
              <w:rPr>
                <w:rFonts w:ascii="Arial" w:hAnsi="Arial"/>
                <w:b w:val="0"/>
                <w:i w:val="0"/>
                <w:color w:val="000000"/>
                <w:sz w:val="18"/>
              </w:rPr>
              <w:t>3</w:t>
            </w:r>
          </w:p>
        </w:tc>
        <w:tc>
          <w:tcPr>
            <w:tcW w:type="dxa" w:w="3000"/>
            <w:vAlign w:val="center"/>
            <w:tcMar>
              <w:top w:w="80" w:type="dxa"/>
              <w:start w:w="120" w:type="dxa"/>
              <w:bottom w:w="80" w:type="dxa"/>
              <w:end w:w="120" w:type="dxa"/>
            </w:tcMar>
          </w:tcPr>
          <w:p>
            <w:pPr>
              <w:spacing w:after="20" w:line="252" w:lineRule="auto"/>
            </w:pPr>
            <w:r/>
            <w:r>
              <w:rPr>
                <w:rFonts w:ascii="Arial" w:hAnsi="Arial"/>
                <w:b w:val="0"/>
                <w:i w:val="0"/>
                <w:color w:val="000000"/>
                <w:sz w:val="18"/>
              </w:rPr>
              <w:t>Route, retrieve and optionally reformulate</w:t>
            </w:r>
          </w:p>
        </w:tc>
        <w:tc>
          <w:tcPr>
            <w:tcW w:type="dxa" w:w="5660"/>
            <w:vAlign w:val="center"/>
            <w:tcMar>
              <w:top w:w="80" w:type="dxa"/>
              <w:start w:w="120" w:type="dxa"/>
              <w:bottom w:w="80" w:type="dxa"/>
              <w:end w:w="120" w:type="dxa"/>
            </w:tcMar>
          </w:tcPr>
          <w:p>
            <w:pPr>
              <w:spacing w:after="20" w:line="252" w:lineRule="auto"/>
            </w:pPr>
            <w:r/>
            <w:r>
              <w:rPr>
                <w:rFonts w:ascii="Arial" w:hAnsi="Arial"/>
                <w:b w:val="0"/>
                <w:i w:val="0"/>
                <w:color w:val="000000"/>
                <w:sz w:val="18"/>
              </w:rPr>
              <w:t>Exact/local/aggregate route and CRAG verdict [E7][E8]</w:t>
            </w:r>
          </w:p>
        </w:tc>
      </w:tr>
      <w:tr>
        <w:tc>
          <w:tcPr>
            <w:tcW w:type="dxa" w:w="700"/>
            <w:vAlign w:val="center"/>
            <w:tcMar>
              <w:top w:w="80" w:type="dxa"/>
              <w:start w:w="120" w:type="dxa"/>
              <w:bottom w:w="80" w:type="dxa"/>
              <w:end w:w="120" w:type="dxa"/>
            </w:tcMar>
          </w:tcPr>
          <w:p>
            <w:pPr>
              <w:spacing w:after="20" w:line="252" w:lineRule="auto"/>
            </w:pPr>
            <w:r/>
            <w:r>
              <w:rPr>
                <w:rFonts w:ascii="Arial" w:hAnsi="Arial"/>
                <w:b w:val="0"/>
                <w:i w:val="0"/>
                <w:color w:val="000000"/>
                <w:sz w:val="18"/>
              </w:rPr>
              <w:t>4</w:t>
            </w:r>
          </w:p>
        </w:tc>
        <w:tc>
          <w:tcPr>
            <w:tcW w:type="dxa" w:w="3000"/>
            <w:vAlign w:val="center"/>
            <w:tcMar>
              <w:top w:w="80" w:type="dxa"/>
              <w:start w:w="120" w:type="dxa"/>
              <w:bottom w:w="80" w:type="dxa"/>
              <w:end w:w="120" w:type="dxa"/>
            </w:tcMar>
          </w:tcPr>
          <w:p>
            <w:pPr>
              <w:spacing w:after="20" w:line="252" w:lineRule="auto"/>
            </w:pPr>
            <w:r/>
            <w:r>
              <w:rPr>
                <w:rFonts w:ascii="Arial" w:hAnsi="Arial"/>
                <w:b w:val="0"/>
                <w:i w:val="0"/>
                <w:color w:val="000000"/>
                <w:sz w:val="18"/>
              </w:rPr>
              <w:t>Prompt and local generation</w:t>
            </w:r>
          </w:p>
        </w:tc>
        <w:tc>
          <w:tcPr>
            <w:tcW w:type="dxa" w:w="5660"/>
            <w:vAlign w:val="center"/>
            <w:tcMar>
              <w:top w:w="80" w:type="dxa"/>
              <w:start w:w="120" w:type="dxa"/>
              <w:bottom w:w="80" w:type="dxa"/>
              <w:end w:w="120" w:type="dxa"/>
            </w:tcMar>
          </w:tcPr>
          <w:p>
            <w:pPr>
              <w:spacing w:after="20" w:line="252" w:lineRule="auto"/>
            </w:pPr>
            <w:r/>
            <w:r>
              <w:rPr>
                <w:rFonts w:ascii="Arial" w:hAnsi="Arial"/>
                <w:b w:val="0"/>
                <w:i w:val="0"/>
                <w:color w:val="000000"/>
                <w:sz w:val="18"/>
              </w:rPr>
              <w:t>Schema-constrained Yes/No/Insufficient Evidence response [E8]</w:t>
            </w:r>
          </w:p>
        </w:tc>
      </w:tr>
      <w:tr>
        <w:tc>
          <w:tcPr>
            <w:tcW w:type="dxa" w:w="700"/>
            <w:vAlign w:val="center"/>
            <w:tcMar>
              <w:top w:w="80" w:type="dxa"/>
              <w:start w:w="120" w:type="dxa"/>
              <w:bottom w:w="80" w:type="dxa"/>
              <w:end w:w="120" w:type="dxa"/>
            </w:tcMar>
          </w:tcPr>
          <w:p>
            <w:pPr>
              <w:spacing w:after="20" w:line="252" w:lineRule="auto"/>
            </w:pPr>
            <w:r/>
            <w:r>
              <w:rPr>
                <w:rFonts w:ascii="Arial" w:hAnsi="Arial"/>
                <w:b w:val="0"/>
                <w:i w:val="0"/>
                <w:color w:val="000000"/>
                <w:sz w:val="18"/>
              </w:rPr>
              <w:t>5</w:t>
            </w:r>
          </w:p>
        </w:tc>
        <w:tc>
          <w:tcPr>
            <w:tcW w:type="dxa" w:w="300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 and audit output</w:t>
            </w:r>
          </w:p>
        </w:tc>
        <w:tc>
          <w:tcPr>
            <w:tcW w:type="dxa" w:w="566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IDs, flags, question result and aggregate score [E5][E8]</w:t>
            </w:r>
          </w:p>
        </w:tc>
      </w:tr>
    </w:tbl>
    <w:p>
      <w:pPr>
        <w:spacing w:after="20"/>
      </w:pPr>
    </w:p>
    <w:p>
      <w:pPr>
        <w:pStyle w:val="Heading1"/>
      </w:pPr>
      <w:r>
        <w:t>Demonstrated execution</w:t>
      </w:r>
    </w:p>
    <w:p>
      <w:pPr>
        <w:spacing w:after="120" w:line="276" w:lineRule="auto"/>
      </w:pPr>
      <w:r>
        <w:rPr>
          <w:rFonts w:ascii="Arial" w:hAnsi="Arial"/>
          <w:b w:val="0"/>
          <w:i w:val="0"/>
          <w:color w:val="000000"/>
          <w:sz w:val="21"/>
        </w:rPr>
        <w:t>The saved two-report run processed 16 report-question pairs and recorded 22 chunks, zero execution errors and zero review flags in the run configuration. [E4]</w:t>
      </w:r>
    </w:p>
    <w:p>
      <w:pPr>
        <w:spacing w:after="120" w:line="276" w:lineRule="auto"/>
      </w:pPr>
      <w:r>
        <w:rPr>
          <w:rFonts w:ascii="Arial" w:hAnsi="Arial"/>
          <w:b w:val="0"/>
          <w:i w:val="0"/>
          <w:color w:val="000000"/>
          <w:sz w:val="21"/>
        </w:rPr>
        <w:t>The 28 August offline mock test exercised parser fallback, contextual chunking, FAISS/BM25 hybrid retrieval, RRF, mocked reranking/CRAG, schema output, grounding and audit-score calculation. It passed. [E7]</w:t>
      </w:r>
    </w:p>
    <w:p>
      <w:pPr>
        <w:pStyle w:val="Heading1"/>
      </w:pPr>
      <w:r>
        <w:t>Use boundary</w:t>
      </w:r>
    </w:p>
    <w:p>
      <w:pPr>
        <w:spacing w:after="120" w:line="276" w:lineRule="auto"/>
      </w:pPr>
      <w:r>
        <w:rPr>
          <w:rFonts w:ascii="Arial" w:hAnsi="Arial"/>
          <w:b w:val="0"/>
          <w:i w:val="0"/>
          <w:color w:val="000000"/>
          <w:sz w:val="21"/>
        </w:rPr>
        <w:t>This is a proof-of-concept chatbot, not a validated decision system. It has not demonstrated visual report understanding, broad multilingual coverage, independently reviewed labels, calibrated abstention or a production deployment. [E5][E8]</w:t>
      </w:r>
    </w:p>
    <w:p>
      <w:pPr>
        <w:pStyle w:val="Heading1"/>
      </w:pPr>
      <w:r>
        <w:t>Run and trace</w:t>
      </w:r>
    </w:p>
    <w:p>
      <w:pPr>
        <w:spacing w:after="120" w:line="276" w:lineRule="auto"/>
      </w:pPr>
      <w:r>
        <w:rPr>
          <w:rFonts w:ascii="Arial" w:hAnsi="Arial"/>
          <w:b w:val="0"/>
          <w:i w:val="0"/>
          <w:color w:val="000000"/>
          <w:sz w:val="21"/>
        </w:rPr>
        <w:t>Offline functional check: from rag/src run python test_harness_mock.py. Saved real-run outputs are in results/production_real_reports/1787846335_de0ded86a7db/. [E4][E7]</w:t>
      </w:r>
    </w:p>
    <w:p>
      <w:pPr>
        <w:pStyle w:val="Heading1"/>
      </w:pPr>
      <w:r>
        <w:t>Integrated execution evidence</w:t>
      </w:r>
    </w:p>
    <w:tbl>
      <w:tblPr>
        <w:tblStyle w:val="TableGrid"/>
        <w:tblW w:type="dxa" w:w="9710"/>
        <w:tblLayout w:type="fixed"/>
        <w:tblLook w:firstColumn="1" w:firstRow="1" w:lastColumn="0" w:lastRow="0" w:noHBand="0" w:noVBand="1" w:val="04A0"/>
        <w:tblInd w:w="120" w:type="dxa"/>
      </w:tblPr>
      <w:tblGrid>
        <w:gridCol w:w="2000"/>
        <w:gridCol w:w="2600"/>
        <w:gridCol w:w="5110"/>
      </w:tblGrid>
      <w:tr>
        <w:tc>
          <w:tcPr>
            <w:tcW w:type="dxa" w:w="2000"/>
            <w:vAlign w:val="center"/>
            <w:tcMar>
              <w:top w:w="80" w:type="dxa"/>
              <w:start w:w="120" w:type="dxa"/>
              <w:bottom w:w="80" w:type="dxa"/>
              <w:end w:w="120" w:type="dxa"/>
            </w:tcMar>
          </w:tcPr>
          <w:p>
            <w:pPr>
              <w:spacing w:after="20"/>
            </w:pPr>
            <w:r/>
            <w:r>
              <w:rPr>
                <w:rFonts w:ascii="Arial" w:hAnsi="Arial"/>
                <w:b/>
                <w:i w:val="0"/>
                <w:color w:val="000000"/>
                <w:sz w:val="18"/>
              </w:rPr>
              <w:t>Input / control</w:t>
            </w:r>
          </w:p>
        </w:tc>
        <w:tc>
          <w:tcPr>
            <w:tcW w:type="dxa" w:w="2600"/>
            <w:vAlign w:val="center"/>
            <w:tcMar>
              <w:top w:w="80" w:type="dxa"/>
              <w:start w:w="120" w:type="dxa"/>
              <w:bottom w:w="80" w:type="dxa"/>
              <w:end w:w="120" w:type="dxa"/>
            </w:tcMar>
          </w:tcPr>
          <w:p>
            <w:pPr>
              <w:spacing w:after="20"/>
            </w:pPr>
            <w:r/>
            <w:r>
              <w:rPr>
                <w:rFonts w:ascii="Arial" w:hAnsi="Arial"/>
                <w:b/>
                <w:i w:val="0"/>
                <w:color w:val="000000"/>
                <w:sz w:val="18"/>
              </w:rPr>
              <w:t>Recorded result</w:t>
            </w:r>
          </w:p>
        </w:tc>
        <w:tc>
          <w:tcPr>
            <w:tcW w:type="dxa" w:w="5110"/>
            <w:vAlign w:val="center"/>
            <w:tcMar>
              <w:top w:w="80" w:type="dxa"/>
              <w:start w:w="120" w:type="dxa"/>
              <w:bottom w:w="80" w:type="dxa"/>
              <w:end w:w="120" w:type="dxa"/>
            </w:tcMar>
          </w:tcPr>
          <w:p>
            <w:pPr>
              <w:spacing w:after="20"/>
            </w:pPr>
            <w:r/>
            <w:r>
              <w:rPr>
                <w:rFonts w:ascii="Arial" w:hAnsi="Arial"/>
                <w:b/>
                <w:i w:val="0"/>
                <w:color w:val="000000"/>
                <w:sz w:val="18"/>
              </w:rPr>
              <w:t>Why it proves integration</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2 JSON audit reports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22 chunks created</w:t>
            </w:r>
          </w:p>
        </w:tc>
        <w:tc>
          <w:tcPr>
            <w:tcW w:type="dxa" w:w="511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ingestion and index construction.</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16 benchmark questions</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16 structured records; n_errors = 0</w:t>
            </w:r>
          </w:p>
        </w:tc>
        <w:tc>
          <w:tcPr>
            <w:tcW w:type="dxa" w:w="511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complete question loop.</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Local Qwen3 8B</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81.25% accuracy; 13.66 s mean latency</w:t>
            </w:r>
          </w:p>
        </w:tc>
        <w:tc>
          <w:tcPr>
            <w:tcW w:type="dxa" w:w="511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local generation under saved configuration.</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guard</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100% grounding rate; 0 review flags</w:t>
            </w:r>
          </w:p>
        </w:tc>
        <w:tc>
          <w:tcPr>
            <w:tcW w:type="dxa" w:w="511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citation-boundary validation.</w:t>
            </w:r>
          </w:p>
        </w:tc>
      </w:tr>
      <w:tr>
        <w:tc>
          <w:tcPr>
            <w:tcW w:type="dxa" w:w="2000"/>
            <w:vAlign w:val="center"/>
            <w:tcMar>
              <w:top w:w="80" w:type="dxa"/>
              <w:start w:w="120" w:type="dxa"/>
              <w:bottom w:w="80" w:type="dxa"/>
              <w:end w:w="120" w:type="dxa"/>
            </w:tcMar>
          </w:tcPr>
          <w:p>
            <w:pPr>
              <w:spacing w:after="20" w:line="252" w:lineRule="auto"/>
            </w:pPr>
            <w:r/>
            <w:r>
              <w:rPr>
                <w:rFonts w:ascii="Arial" w:hAnsi="Arial"/>
                <w:b w:val="0"/>
                <w:i w:val="0"/>
                <w:color w:val="000000"/>
                <w:sz w:val="18"/>
              </w:rPr>
              <w:t>Audit aggregation</w:t>
            </w:r>
          </w:p>
        </w:tc>
        <w:tc>
          <w:tcPr>
            <w:tcW w:type="dxa" w:w="2600"/>
            <w:vAlign w:val="center"/>
            <w:tcMar>
              <w:top w:w="80" w:type="dxa"/>
              <w:start w:w="120" w:type="dxa"/>
              <w:bottom w:w="80" w:type="dxa"/>
              <w:end w:w="120" w:type="dxa"/>
            </w:tcMar>
          </w:tcPr>
          <w:p>
            <w:pPr>
              <w:spacing w:after="20" w:line="252" w:lineRule="auto"/>
            </w:pPr>
            <w:r/>
            <w:r>
              <w:rPr>
                <w:rFonts w:ascii="Arial" w:hAnsi="Arial"/>
                <w:b w:val="0"/>
                <w:i w:val="0"/>
                <w:color w:val="000000"/>
                <w:sz w:val="18"/>
              </w:rPr>
              <w:t>100% and 87.5% report scores</w:t>
            </w:r>
          </w:p>
        </w:tc>
        <w:tc>
          <w:tcPr>
            <w:tcW w:type="dxa" w:w="5110"/>
            <w:vAlign w:val="center"/>
            <w:tcMar>
              <w:top w:w="80" w:type="dxa"/>
              <w:start w:w="120" w:type="dxa"/>
              <w:bottom w:w="80" w:type="dxa"/>
              <w:end w:w="120" w:type="dxa"/>
            </w:tcMar>
          </w:tcPr>
          <w:p>
            <w:pPr>
              <w:spacing w:after="20" w:line="252" w:lineRule="auto"/>
            </w:pPr>
            <w:r/>
            <w:r>
              <w:rPr>
                <w:rFonts w:ascii="Arial" w:hAnsi="Arial"/>
                <w:b w:val="0"/>
                <w:i w:val="0"/>
                <w:color w:val="000000"/>
                <w:sz w:val="18"/>
              </w:rPr>
              <w:t>Demonstrates report-level decision output. [E4][E5]</w:t>
            </w:r>
          </w:p>
        </w:tc>
      </w:tr>
    </w:tbl>
    <w:p>
      <w:pPr>
        <w:spacing w:after="20"/>
      </w:pPr>
    </w:p>
    <w:p>
      <w:pPr>
        <w:pStyle w:val="Heading1"/>
      </w:pPr>
      <w:r>
        <w:t>Prototype review conclusion</w:t>
      </w:r>
    </w:p>
    <w:p>
      <w:pPr>
        <w:spacing w:after="120" w:line="276" w:lineRule="auto"/>
      </w:pPr>
      <w:r>
        <w:rPr>
          <w:rFonts w:ascii="Arial" w:hAnsi="Arial"/>
          <w:b w:val="0"/>
          <w:i w:val="0"/>
          <w:color w:val="000000"/>
          <w:sz w:val="21"/>
        </w:rPr>
        <w:t>The integrated result matters because all stages are connected in one run: source report identity, chunks, retrieval, prompt, model response, evidence IDs and final score are written together. A reviewer can start at a report-level PASS and inspect the corresponding question and retrieved text rather than trusting a dashboard total. [E4][E5]</w:t>
      </w:r>
    </w:p>
    <w:p>
      <w:pPr>
        <w:spacing w:after="120" w:line="276" w:lineRule="auto"/>
      </w:pPr>
      <w:r>
        <w:rPr>
          <w:rFonts w:ascii="Arial" w:hAnsi="Arial"/>
          <w:b w:val="0"/>
          <w:i w:val="0"/>
          <w:color w:val="000000"/>
          <w:sz w:val="21"/>
        </w:rPr>
        <w:t>This prototype does not yet establish a deployable chatbot. It requires independently labelled reports, visual-document evaluation, calibrated abstention, and stress testing before it can be used beyond a controlled POC. [E8][E10]</w:t>
      </w:r>
    </w:p>
    <w:p>
      <w:pPr>
        <w:pStyle w:val="Heading1"/>
      </w:pPr>
      <w:r>
        <w:t>Engineering rationale and review use</w:t>
      </w:r>
    </w:p>
    <w:p>
      <w:pPr>
        <w:spacing w:after="120" w:line="276" w:lineRule="auto"/>
      </w:pPr>
      <w:r>
        <w:rPr>
          <w:rFonts w:ascii="Arial" w:hAnsi="Arial"/>
          <w:b w:val="0"/>
          <w:i w:val="0"/>
          <w:color w:val="000000"/>
          <w:sz w:val="21"/>
        </w:rPr>
        <w:t>The prototype is intentionally engineered as a sequence of inspectable components rather than a single opaque agent. That makes failures diagnosable: a reviewer can determine whether an incorrect audit decision came from parsing, chunking, retrieval, evidence selection, prompt compliance or answer generation. The saved results preserve enough intermediate data to conduct that diagnosis without replaying the entire model run. [E4][E5][E8]</w:t>
      </w:r>
    </w:p>
    <w:p>
      <w:pPr>
        <w:spacing w:after="120" w:line="276" w:lineRule="auto"/>
      </w:pPr>
      <w:r>
        <w:rPr>
          <w:rFonts w:ascii="Arial" w:hAnsi="Arial"/>
          <w:b w:val="0"/>
          <w:i w:val="0"/>
          <w:color w:val="000000"/>
          <w:sz w:val="21"/>
        </w:rPr>
        <w:t>This separation is particularly useful on constrained offline hardware. The two-report configuration documents which components were enabled and which were deliberately disabled to avoid GPU memory contention. The generator, retrieval settings and evidence controls can therefore be tuned independently instead of forcing a one-size-fits-all configuration that is slow, fragile or impossible to reproduce. [E4][E9]</w:t>
      </w:r>
    </w:p>
    <w:p>
      <w:pPr>
        <w:spacing w:after="120" w:line="276" w:lineRule="auto"/>
      </w:pPr>
      <w:r>
        <w:rPr>
          <w:rFonts w:ascii="Arial" w:hAnsi="Arial"/>
          <w:b w:val="0"/>
          <w:i w:val="0"/>
          <w:color w:val="000000"/>
          <w:sz w:val="21"/>
        </w:rPr>
        <w:t>A production extension should preserve this shape: retain the deterministic evidence and scoring layers, then strengthen the parser, labels and verification thresholds. The right next step is not a more elaborate chat UI; it is a larger independently reviewed corpus that can demonstrate whether the existing controls improve real audit-assessment reliability. [E5][E8]</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[E7] Verification executed 28 August 2026: python -m unittest test_json_parser.py test_adaptive_rag.py test_security_gates.py (6 tests passed) and python test_harness_mock.py (offline mock end-to-end passed).</w:t>
      </w:r>
    </w:p>
    <w:p>
      <w:pPr>
        <w:pStyle w:val="ListBullet"/>
        <w:spacing w:after="60" w:line="264" w:lineRule="auto"/>
      </w:pPr>
      <w:r>
        <w:rPr>
          <w:rFonts w:ascii="Arial" w:hAnsi="Arial"/>
          <w:b w:val="0"/>
          <w:i w:val="0"/>
          <w:color w:val="000000"/>
          <w:sz w:val="20"/>
        </w:rPr>
        <w:t>[E8] src/{docling_parser.py,chunking.py,embed_index.py,pipeline.py,evaluation_harness.py,adaptive_rag.py,prompts.py,icl.py}: implementation inspection.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D07 Integrated RAG Chatbot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