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i w:val="0"/>
          <w:color w:val="000000"/>
          <w:sz w:val="44"/>
        </w:rPr>
        <w:t>D8. Evaluation Dataset and Methodology</w:t>
      </w:r>
    </w:p>
    <w:p>
      <w:pPr>
        <w:spacing w:after="280"/>
      </w:pPr>
      <w:r>
        <w:rPr>
          <w:rFonts w:ascii="Arial" w:hAnsi="Arial"/>
          <w:b w:val="0"/>
          <w:i/>
          <w:color w:val="000000"/>
          <w:sz w:val="22"/>
        </w:rPr>
        <w:t>Question set, labelling method, evaluation design and limitations.</w:t>
      </w:r>
    </w:p>
    <w:tbl>
      <w:tblPr>
        <w:tblStyle w:val="TableGrid"/>
        <w:tblW w:type="dxa" w:w="9360"/>
        <w:tblLayout w:type="fixed"/>
        <w:tblLook w:firstColumn="1" w:firstRow="1" w:lastColumn="0" w:lastRow="0" w:noHBand="0" w:noVBand="1" w:val="04A0"/>
        <w:tblInd w:w="120" w:type="dxa"/>
      </w:tblPr>
      <w:tblGrid>
        <w:gridCol w:w="1850"/>
        <w:gridCol w:w="7510"/>
      </w:tblGrid>
      <w:tr>
        <w:tc>
          <w:tcPr>
            <w:tcW w:type="dxa" w:w="1850"/>
            <w:vAlign w:val="center"/>
            <w:tcMar>
              <w:top w:w="80" w:type="dxa"/>
              <w:start w:w="120" w:type="dxa"/>
              <w:bottom w:w="80" w:type="dxa"/>
              <w:end w:w="120" w:type="dxa"/>
            </w:tcMar>
          </w:tcPr>
          <w:p>
            <w:pPr>
              <w:spacing w:after="20"/>
            </w:pPr>
            <w:r/>
            <w:r>
              <w:rPr>
                <w:rFonts w:ascii="Arial" w:hAnsi="Arial"/>
                <w:b/>
                <w:i w:val="0"/>
                <w:color w:val="000000"/>
                <w:sz w:val="18"/>
              </w:rPr>
              <w:t>Field</w:t>
            </w:r>
          </w:p>
        </w:tc>
        <w:tc>
          <w:tcPr>
            <w:tcW w:type="dxa" w:w="7510"/>
            <w:vAlign w:val="center"/>
            <w:tcMar>
              <w:top w:w="80" w:type="dxa"/>
              <w:start w:w="120" w:type="dxa"/>
              <w:bottom w:w="80" w:type="dxa"/>
              <w:end w:w="120" w:type="dxa"/>
            </w:tcMar>
          </w:tcPr>
          <w:p>
            <w:pPr>
              <w:spacing w:after="20"/>
            </w:pPr>
            <w:r/>
            <w:r>
              <w:rPr>
                <w:rFonts w:ascii="Arial" w:hAnsi="Arial"/>
                <w:b/>
                <w:i w:val="0"/>
                <w:color w:val="000000"/>
                <w:sz w:val="18"/>
              </w:rPr>
              <w:t>Value</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Project</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Development of AI-Based Cyber Security Audit Assessment Against Benchmark</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Scope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Objective 3; secure local/air-gapped RAG proof of concept</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Report date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28 August 2026</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Evidence rule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Implemented, tested and untested claims are labelled separately.</w:t>
            </w:r>
          </w:p>
        </w:tc>
      </w:tr>
    </w:tbl>
    <w:p>
      <w:pPr>
        <w:spacing w:after="20"/>
      </w:pPr>
    </w:p>
    <w:p>
      <w:pPr>
        <w:pStyle w:val="Heading1"/>
      </w:pPr>
      <w:r>
        <w:t>Label distribution and scope</w:t>
      </w:r>
    </w:p>
    <w:tbl>
      <w:tblPr>
        <w:tblStyle w:val="TableGrid"/>
        <w:tblW w:type="dxa" w:w="9360"/>
        <w:tblLayout w:type="fixed"/>
        <w:tblLook w:firstColumn="1" w:firstRow="1" w:lastColumn="0" w:lastRow="0" w:noHBand="0" w:noVBand="1" w:val="04A0"/>
        <w:tblInd w:w="120" w:type="dxa"/>
      </w:tblPr>
      <w:tblGrid>
        <w:gridCol w:w="2300"/>
        <w:gridCol w:w="2600"/>
        <w:gridCol w:w="4460"/>
      </w:tblGrid>
      <w:tr>
        <w:tc>
          <w:tcPr>
            <w:tcW w:type="dxa" w:w="2300"/>
            <w:vAlign w:val="center"/>
            <w:tcMar>
              <w:top w:w="80" w:type="dxa"/>
              <w:start w:w="120" w:type="dxa"/>
              <w:bottom w:w="80" w:type="dxa"/>
              <w:end w:w="120" w:type="dxa"/>
            </w:tcMar>
          </w:tcPr>
          <w:p>
            <w:pPr>
              <w:spacing w:after="20"/>
            </w:pPr>
            <w:r/>
            <w:r>
              <w:rPr>
                <w:rFonts w:ascii="Arial" w:hAnsi="Arial"/>
                <w:b/>
                <w:i w:val="0"/>
                <w:color w:val="000000"/>
                <w:sz w:val="18"/>
              </w:rPr>
              <w:t>Element</w:t>
            </w:r>
          </w:p>
        </w:tc>
        <w:tc>
          <w:tcPr>
            <w:tcW w:type="dxa" w:w="2600"/>
            <w:vAlign w:val="center"/>
            <w:tcMar>
              <w:top w:w="80" w:type="dxa"/>
              <w:start w:w="120" w:type="dxa"/>
              <w:bottom w:w="80" w:type="dxa"/>
              <w:end w:w="120" w:type="dxa"/>
            </w:tcMar>
          </w:tcPr>
          <w:p>
            <w:pPr>
              <w:spacing w:after="20"/>
            </w:pPr>
            <w:r/>
            <w:r>
              <w:rPr>
                <w:rFonts w:ascii="Arial" w:hAnsi="Arial"/>
                <w:b/>
                <w:i w:val="0"/>
                <w:color w:val="000000"/>
                <w:sz w:val="18"/>
              </w:rPr>
              <w:t>Current value</w:t>
            </w:r>
          </w:p>
        </w:tc>
        <w:tc>
          <w:tcPr>
            <w:tcW w:type="dxa" w:w="4460"/>
            <w:vAlign w:val="center"/>
            <w:tcMar>
              <w:top w:w="80" w:type="dxa"/>
              <w:start w:w="120" w:type="dxa"/>
              <w:bottom w:w="80" w:type="dxa"/>
              <w:end w:w="120" w:type="dxa"/>
            </w:tcMar>
          </w:tcPr>
          <w:p>
            <w:pPr>
              <w:spacing w:after="20"/>
            </w:pPr>
            <w:r/>
            <w:r>
              <w:rPr>
                <w:rFonts w:ascii="Arial" w:hAnsi="Arial"/>
                <w:b/>
                <w:i w:val="0"/>
                <w:color w:val="000000"/>
                <w:sz w:val="18"/>
              </w:rPr>
              <w:t>Methodological consequence</w:t>
            </w:r>
          </w:p>
        </w:tc>
      </w:tr>
      <w:tr>
        <w:tc>
          <w:tcPr>
            <w:tcW w:type="dxa" w:w="2300"/>
            <w:vAlign w:val="center"/>
            <w:tcMar>
              <w:top w:w="80" w:type="dxa"/>
              <w:start w:w="120" w:type="dxa"/>
              <w:bottom w:w="80" w:type="dxa"/>
              <w:end w:w="120" w:type="dxa"/>
            </w:tcMar>
          </w:tcPr>
          <w:p>
            <w:pPr>
              <w:spacing w:after="20" w:line="252" w:lineRule="auto"/>
            </w:pPr>
            <w:r/>
            <w:r>
              <w:rPr>
                <w:rFonts w:ascii="Arial" w:hAnsi="Arial"/>
                <w:b w:val="0"/>
                <w:i w:val="0"/>
                <w:color w:val="000000"/>
                <w:sz w:val="18"/>
              </w:rPr>
              <w:t>Source reports</w:t>
            </w:r>
          </w:p>
        </w:tc>
        <w:tc>
          <w:tcPr>
            <w:tcW w:type="dxa" w:w="2600"/>
            <w:vAlign w:val="center"/>
            <w:tcMar>
              <w:top w:w="80" w:type="dxa"/>
              <w:start w:w="120" w:type="dxa"/>
              <w:bottom w:w="80" w:type="dxa"/>
              <w:end w:w="120" w:type="dxa"/>
            </w:tcMar>
          </w:tcPr>
          <w:p>
            <w:pPr>
              <w:spacing w:after="20" w:line="252" w:lineRule="auto"/>
            </w:pPr>
            <w:r/>
            <w:r>
              <w:rPr>
                <w:rFonts w:ascii="Arial" w:hAnsi="Arial"/>
                <w:b w:val="0"/>
                <w:i w:val="0"/>
                <w:color w:val="000000"/>
                <w:sz w:val="18"/>
              </w:rPr>
              <w:t>2 extracted JSON reports</w:t>
            </w:r>
          </w:p>
        </w:tc>
        <w:tc>
          <w:tcPr>
            <w:tcW w:type="dxa" w:w="4460"/>
            <w:vAlign w:val="center"/>
            <w:tcMar>
              <w:top w:w="80" w:type="dxa"/>
              <w:start w:w="120" w:type="dxa"/>
              <w:bottom w:w="80" w:type="dxa"/>
              <w:end w:w="120" w:type="dxa"/>
            </w:tcMar>
          </w:tcPr>
          <w:p>
            <w:pPr>
              <w:spacing w:after="20" w:line="252" w:lineRule="auto"/>
            </w:pPr>
            <w:r/>
            <w:r>
              <w:rPr>
                <w:rFonts w:ascii="Arial" w:hAnsi="Arial"/>
                <w:b w:val="0"/>
                <w:i w:val="0"/>
                <w:color w:val="000000"/>
                <w:sz w:val="18"/>
              </w:rPr>
              <w:t>Integration evidence only</w:t>
            </w:r>
          </w:p>
        </w:tc>
      </w:tr>
      <w:tr>
        <w:tc>
          <w:tcPr>
            <w:tcW w:type="dxa" w:w="2300"/>
            <w:vAlign w:val="center"/>
            <w:tcMar>
              <w:top w:w="80" w:type="dxa"/>
              <w:start w:w="120" w:type="dxa"/>
              <w:bottom w:w="80" w:type="dxa"/>
              <w:end w:w="120" w:type="dxa"/>
            </w:tcMar>
          </w:tcPr>
          <w:p>
            <w:pPr>
              <w:spacing w:after="20" w:line="252" w:lineRule="auto"/>
            </w:pPr>
            <w:r/>
            <w:r>
              <w:rPr>
                <w:rFonts w:ascii="Arial" w:hAnsi="Arial"/>
                <w:b w:val="0"/>
                <w:i w:val="0"/>
                <w:color w:val="000000"/>
                <w:sz w:val="18"/>
              </w:rPr>
              <w:t>Report-question pairs</w:t>
            </w:r>
          </w:p>
        </w:tc>
        <w:tc>
          <w:tcPr>
            <w:tcW w:type="dxa" w:w="2600"/>
            <w:vAlign w:val="center"/>
            <w:tcMar>
              <w:top w:w="80" w:type="dxa"/>
              <w:start w:w="120" w:type="dxa"/>
              <w:bottom w:w="80" w:type="dxa"/>
              <w:end w:w="120" w:type="dxa"/>
            </w:tcMar>
          </w:tcPr>
          <w:p>
            <w:pPr>
              <w:spacing w:after="20" w:line="252" w:lineRule="auto"/>
            </w:pPr>
            <w:r/>
            <w:r>
              <w:rPr>
                <w:rFonts w:ascii="Arial" w:hAnsi="Arial"/>
                <w:b w:val="0"/>
                <w:i w:val="0"/>
                <w:color w:val="000000"/>
                <w:sz w:val="18"/>
              </w:rPr>
              <w:t>16</w:t>
            </w:r>
          </w:p>
        </w:tc>
        <w:tc>
          <w:tcPr>
            <w:tcW w:type="dxa" w:w="4460"/>
            <w:vAlign w:val="center"/>
            <w:tcMar>
              <w:top w:w="80" w:type="dxa"/>
              <w:start w:w="120" w:type="dxa"/>
              <w:bottom w:w="80" w:type="dxa"/>
              <w:end w:w="120" w:type="dxa"/>
            </w:tcMar>
          </w:tcPr>
          <w:p>
            <w:pPr>
              <w:spacing w:after="20" w:line="252" w:lineRule="auto"/>
            </w:pPr>
            <w:r/>
            <w:r>
              <w:rPr>
                <w:rFonts w:ascii="Arial" w:hAnsi="Arial"/>
                <w:b w:val="0"/>
                <w:i w:val="0"/>
                <w:color w:val="000000"/>
                <w:sz w:val="18"/>
              </w:rPr>
              <w:t>Too small for stable generalisation estimates</w:t>
            </w:r>
          </w:p>
        </w:tc>
      </w:tr>
      <w:tr>
        <w:tc>
          <w:tcPr>
            <w:tcW w:type="dxa" w:w="2300"/>
            <w:vAlign w:val="center"/>
            <w:tcMar>
              <w:top w:w="80" w:type="dxa"/>
              <w:start w:w="120" w:type="dxa"/>
              <w:bottom w:w="80" w:type="dxa"/>
              <w:end w:w="120" w:type="dxa"/>
            </w:tcMar>
          </w:tcPr>
          <w:p>
            <w:pPr>
              <w:spacing w:after="20" w:line="252" w:lineRule="auto"/>
            </w:pPr>
            <w:r/>
            <w:r>
              <w:rPr>
                <w:rFonts w:ascii="Arial" w:hAnsi="Arial"/>
                <w:b w:val="0"/>
                <w:i w:val="0"/>
                <w:color w:val="000000"/>
                <w:sz w:val="18"/>
              </w:rPr>
              <w:t>Gold answers</w:t>
            </w:r>
          </w:p>
        </w:tc>
        <w:tc>
          <w:tcPr>
            <w:tcW w:type="dxa" w:w="2600"/>
            <w:vAlign w:val="center"/>
            <w:tcMar>
              <w:top w:w="80" w:type="dxa"/>
              <w:start w:w="120" w:type="dxa"/>
              <w:bottom w:w="80" w:type="dxa"/>
              <w:end w:w="120" w:type="dxa"/>
            </w:tcMar>
          </w:tcPr>
          <w:p>
            <w:pPr>
              <w:spacing w:after="20" w:line="252" w:lineRule="auto"/>
            </w:pPr>
            <w:r/>
            <w:r>
              <w:rPr>
                <w:rFonts w:ascii="Arial" w:hAnsi="Arial"/>
                <w:b w:val="0"/>
                <w:i w:val="0"/>
                <w:color w:val="000000"/>
                <w:sz w:val="18"/>
              </w:rPr>
              <w:t>12 Yes; 4 No; 0 Insufficient Evidence</w:t>
            </w:r>
          </w:p>
        </w:tc>
        <w:tc>
          <w:tcPr>
            <w:tcW w:type="dxa" w:w="4460"/>
            <w:vAlign w:val="center"/>
            <w:tcMar>
              <w:top w:w="80" w:type="dxa"/>
              <w:start w:w="120" w:type="dxa"/>
              <w:bottom w:w="80" w:type="dxa"/>
              <w:end w:w="120" w:type="dxa"/>
            </w:tcMar>
          </w:tcPr>
          <w:p>
            <w:pPr>
              <w:spacing w:after="20" w:line="252" w:lineRule="auto"/>
            </w:pPr>
            <w:r/>
            <w:r>
              <w:rPr>
                <w:rFonts w:ascii="Arial" w:hAnsi="Arial"/>
                <w:b w:val="0"/>
                <w:i w:val="0"/>
                <w:color w:val="000000"/>
                <w:sz w:val="18"/>
              </w:rPr>
              <w:t>Macro-F1 and abstention safety are limited</w:t>
            </w:r>
          </w:p>
        </w:tc>
      </w:tr>
      <w:tr>
        <w:tc>
          <w:tcPr>
            <w:tcW w:type="dxa" w:w="2300"/>
            <w:vAlign w:val="center"/>
            <w:tcMar>
              <w:top w:w="80" w:type="dxa"/>
              <w:start w:w="120" w:type="dxa"/>
              <w:bottom w:w="80" w:type="dxa"/>
              <w:end w:w="120" w:type="dxa"/>
            </w:tcMar>
          </w:tcPr>
          <w:p>
            <w:pPr>
              <w:spacing w:after="20" w:line="252" w:lineRule="auto"/>
            </w:pPr>
            <w:r/>
            <w:r>
              <w:rPr>
                <w:rFonts w:ascii="Arial" w:hAnsi="Arial"/>
                <w:b w:val="0"/>
                <w:i w:val="0"/>
                <w:color w:val="000000"/>
                <w:sz w:val="18"/>
              </w:rPr>
              <w:t>Evidence labels</w:t>
            </w:r>
          </w:p>
        </w:tc>
        <w:tc>
          <w:tcPr>
            <w:tcW w:type="dxa" w:w="2600"/>
            <w:vAlign w:val="center"/>
            <w:tcMar>
              <w:top w:w="80" w:type="dxa"/>
              <w:start w:w="120" w:type="dxa"/>
              <w:bottom w:w="80" w:type="dxa"/>
              <w:end w:w="120" w:type="dxa"/>
            </w:tcMar>
          </w:tcPr>
          <w:p>
            <w:pPr>
              <w:spacing w:after="20" w:line="252" w:lineRule="auto"/>
            </w:pPr>
            <w:r/>
            <w:r>
              <w:rPr>
                <w:rFonts w:ascii="Arial" w:hAnsi="Arial"/>
                <w:b w:val="0"/>
                <w:i w:val="0"/>
                <w:color w:val="000000"/>
                <w:sz w:val="18"/>
              </w:rPr>
              <w:t>Gold chunk IDs for structure-aware 420/60</w:t>
            </w:r>
          </w:p>
        </w:tc>
        <w:tc>
          <w:tcPr>
            <w:tcW w:type="dxa" w:w="4460"/>
            <w:vAlign w:val="center"/>
            <w:tcMar>
              <w:top w:w="80" w:type="dxa"/>
              <w:start w:w="120" w:type="dxa"/>
              <w:bottom w:w="80" w:type="dxa"/>
              <w:end w:w="120" w:type="dxa"/>
            </w:tcMar>
          </w:tcPr>
          <w:p>
            <w:pPr>
              <w:spacing w:after="20" w:line="252" w:lineRule="auto"/>
            </w:pPr>
            <w:r/>
            <w:r>
              <w:rPr>
                <w:rFonts w:ascii="Arial" w:hAnsi="Arial"/>
                <w:b w:val="0"/>
                <w:i w:val="0"/>
                <w:color w:val="000000"/>
                <w:sz w:val="18"/>
              </w:rPr>
              <w:t>Rank metrics are invalid after boundary changes</w:t>
            </w:r>
          </w:p>
        </w:tc>
      </w:tr>
      <w:tr>
        <w:tc>
          <w:tcPr>
            <w:tcW w:type="dxa" w:w="2300"/>
            <w:vAlign w:val="center"/>
            <w:tcMar>
              <w:top w:w="80" w:type="dxa"/>
              <w:start w:w="120" w:type="dxa"/>
              <w:bottom w:w="80" w:type="dxa"/>
              <w:end w:w="120" w:type="dxa"/>
            </w:tcMar>
          </w:tcPr>
          <w:p>
            <w:pPr>
              <w:spacing w:after="20" w:line="252" w:lineRule="auto"/>
            </w:pPr>
            <w:r/>
            <w:r>
              <w:rPr>
                <w:rFonts w:ascii="Arial" w:hAnsi="Arial"/>
                <w:b w:val="0"/>
                <w:i w:val="0"/>
                <w:color w:val="000000"/>
                <w:sz w:val="18"/>
              </w:rPr>
              <w:t>Decision threshold</w:t>
            </w:r>
          </w:p>
        </w:tc>
        <w:tc>
          <w:tcPr>
            <w:tcW w:type="dxa" w:w="2600"/>
            <w:vAlign w:val="center"/>
            <w:tcMar>
              <w:top w:w="80" w:type="dxa"/>
              <w:start w:w="120" w:type="dxa"/>
              <w:bottom w:w="80" w:type="dxa"/>
              <w:end w:w="120" w:type="dxa"/>
            </w:tcMar>
          </w:tcPr>
          <w:p>
            <w:pPr>
              <w:spacing w:after="20" w:line="252" w:lineRule="auto"/>
            </w:pPr>
            <w:r/>
            <w:r>
              <w:rPr>
                <w:rFonts w:ascii="Arial" w:hAnsi="Arial"/>
                <w:b w:val="0"/>
                <w:i w:val="0"/>
                <w:color w:val="000000"/>
                <w:sz w:val="18"/>
              </w:rPr>
              <w:t>70% positive answers</w:t>
            </w:r>
          </w:p>
        </w:tc>
        <w:tc>
          <w:tcPr>
            <w:tcW w:type="dxa" w:w="4460"/>
            <w:vAlign w:val="center"/>
            <w:tcMar>
              <w:top w:w="80" w:type="dxa"/>
              <w:start w:w="120" w:type="dxa"/>
              <w:bottom w:w="80" w:type="dxa"/>
              <w:end w:w="120" w:type="dxa"/>
            </w:tcMar>
          </w:tcPr>
          <w:p>
            <w:pPr>
              <w:spacing w:after="20" w:line="252" w:lineRule="auto"/>
            </w:pPr>
            <w:r/>
            <w:r>
              <w:rPr>
                <w:rFonts w:ascii="Arial" w:hAnsi="Arial"/>
                <w:b w:val="0"/>
                <w:i w:val="0"/>
                <w:color w:val="000000"/>
                <w:sz w:val="18"/>
              </w:rPr>
              <w:t>Reproducible POC score, not expert certification</w:t>
            </w:r>
          </w:p>
        </w:tc>
      </w:tr>
    </w:tbl>
    <w:p>
      <w:pPr>
        <w:spacing w:after="20"/>
      </w:pPr>
    </w:p>
    <w:p>
      <w:pPr>
        <w:pStyle w:val="Heading1"/>
      </w:pPr>
      <w:r>
        <w:t>Evaluation integrity</w:t>
      </w:r>
    </w:p>
    <w:p>
      <w:pPr>
        <w:spacing w:after="120" w:line="276" w:lineRule="auto"/>
      </w:pPr>
      <w:r>
        <w:rPr>
          <w:rFonts w:ascii="Arial" w:hAnsi="Arial"/>
          <w:b w:val="0"/>
          <w:i w:val="0"/>
          <w:color w:val="000000"/>
          <w:sz w:val="21"/>
        </w:rPr>
        <w:t>Questions were derived from the actual supplied reports and applied consistently to both reports. The harness stores per-report answer labels and evidence IDs, avoiding a synthetic task that bears no relation to the documents being assessed. [E4][E6]</w:t>
      </w:r>
    </w:p>
    <w:p>
      <w:pPr>
        <w:spacing w:after="120" w:line="276" w:lineRule="auto"/>
      </w:pPr>
      <w:r>
        <w:rPr>
          <w:rFonts w:ascii="Arial" w:hAnsi="Arial"/>
          <w:b w:val="0"/>
          <w:i w:val="0"/>
          <w:color w:val="000000"/>
          <w:sz w:val="21"/>
        </w:rPr>
        <w:t>The limitation is equally important: source-derived labels are not independent expert labels. The package therefore uses a release gate that correctly remains BLOCKED until a larger balanced, independently reviewed corpus exists. [E7][E10]</w:t>
      </w:r>
    </w:p>
    <w:p>
      <w:pPr>
        <w:pStyle w:val="Heading1"/>
      </w:pPr>
      <w:r>
        <w:t>Dataset registry</w:t>
      </w:r>
    </w:p>
    <w:tbl>
      <w:tblPr>
        <w:tblStyle w:val="TableGrid"/>
        <w:tblW w:type="dxa" w:w="9360"/>
        <w:tblLayout w:type="fixed"/>
        <w:tblLook w:firstColumn="1" w:firstRow="1" w:lastColumn="0" w:lastRow="0" w:noHBand="0" w:noVBand="1" w:val="04A0"/>
        <w:tblInd w:w="120" w:type="dxa"/>
      </w:tblPr>
      <w:tblGrid>
        <w:gridCol w:w="2300"/>
        <w:gridCol w:w="2700"/>
        <w:gridCol w:w="1800"/>
        <w:gridCol w:w="2560"/>
      </w:tblGrid>
      <w:tr>
        <w:tc>
          <w:tcPr>
            <w:tcW w:type="dxa" w:w="2300"/>
            <w:vAlign w:val="center"/>
            <w:tcMar>
              <w:top w:w="80" w:type="dxa"/>
              <w:start w:w="120" w:type="dxa"/>
              <w:bottom w:w="80" w:type="dxa"/>
              <w:end w:w="120" w:type="dxa"/>
            </w:tcMar>
          </w:tcPr>
          <w:p>
            <w:pPr>
              <w:spacing w:after="20"/>
            </w:pPr>
            <w:r/>
            <w:r>
              <w:rPr>
                <w:rFonts w:ascii="Arial" w:hAnsi="Arial"/>
                <w:b/>
                <w:i w:val="0"/>
                <w:color w:val="000000"/>
                <w:sz w:val="18"/>
              </w:rPr>
              <w:t>Dataset</w:t>
            </w:r>
          </w:p>
        </w:tc>
        <w:tc>
          <w:tcPr>
            <w:tcW w:type="dxa" w:w="2700"/>
            <w:vAlign w:val="center"/>
            <w:tcMar>
              <w:top w:w="80" w:type="dxa"/>
              <w:start w:w="120" w:type="dxa"/>
              <w:bottom w:w="80" w:type="dxa"/>
              <w:end w:w="120" w:type="dxa"/>
            </w:tcMar>
          </w:tcPr>
          <w:p>
            <w:pPr>
              <w:spacing w:after="20"/>
            </w:pPr>
            <w:r/>
            <w:r>
              <w:rPr>
                <w:rFonts w:ascii="Arial" w:hAnsi="Arial"/>
                <w:b/>
                <w:i w:val="0"/>
                <w:color w:val="000000"/>
                <w:sz w:val="18"/>
              </w:rPr>
              <w:t>Reports</w:t>
            </w:r>
          </w:p>
        </w:tc>
        <w:tc>
          <w:tcPr>
            <w:tcW w:type="dxa" w:w="1800"/>
            <w:vAlign w:val="center"/>
            <w:tcMar>
              <w:top w:w="80" w:type="dxa"/>
              <w:start w:w="120" w:type="dxa"/>
              <w:bottom w:w="80" w:type="dxa"/>
              <w:end w:w="120" w:type="dxa"/>
            </w:tcMar>
          </w:tcPr>
          <w:p>
            <w:pPr>
              <w:spacing w:after="20"/>
            </w:pPr>
            <w:r/>
            <w:r>
              <w:rPr>
                <w:rFonts w:ascii="Arial" w:hAnsi="Arial"/>
                <w:b/>
                <w:i w:val="0"/>
                <w:color w:val="000000"/>
                <w:sz w:val="18"/>
              </w:rPr>
              <w:t>Questions</w:t>
            </w:r>
          </w:p>
        </w:tc>
        <w:tc>
          <w:tcPr>
            <w:tcW w:type="dxa" w:w="2560"/>
            <w:vAlign w:val="center"/>
            <w:tcMar>
              <w:top w:w="80" w:type="dxa"/>
              <w:start w:w="120" w:type="dxa"/>
              <w:bottom w:w="80" w:type="dxa"/>
              <w:end w:w="120" w:type="dxa"/>
            </w:tcMar>
          </w:tcPr>
          <w:p>
            <w:pPr>
              <w:spacing w:after="20"/>
            </w:pPr>
            <w:r/>
            <w:r>
              <w:rPr>
                <w:rFonts w:ascii="Arial" w:hAnsi="Arial"/>
                <w:b/>
                <w:i w:val="0"/>
                <w:color w:val="000000"/>
                <w:sz w:val="18"/>
              </w:rPr>
              <w:t>Role</w:t>
            </w:r>
          </w:p>
        </w:tc>
      </w:tr>
      <w:tr>
        <w:tc>
          <w:tcPr>
            <w:tcW w:type="dxa" w:w="2300"/>
            <w:vAlign w:val="center"/>
            <w:tcMar>
              <w:top w:w="80" w:type="dxa"/>
              <w:start w:w="120" w:type="dxa"/>
              <w:bottom w:w="80" w:type="dxa"/>
              <w:end w:w="120" w:type="dxa"/>
            </w:tcMar>
          </w:tcPr>
          <w:p>
            <w:pPr>
              <w:spacing w:after="20" w:line="252" w:lineRule="auto"/>
            </w:pPr>
            <w:r/>
            <w:r>
              <w:rPr>
                <w:rFonts w:ascii="Arial" w:hAnsi="Arial"/>
                <w:b w:val="0"/>
                <w:i w:val="0"/>
                <w:color w:val="000000"/>
                <w:sz w:val="18"/>
              </w:rPr>
              <w:t>Initial sample</w:t>
            </w:r>
          </w:p>
        </w:tc>
        <w:tc>
          <w:tcPr>
            <w:tcW w:type="dxa" w:w="2700"/>
            <w:vAlign w:val="center"/>
            <w:tcMar>
              <w:top w:w="80" w:type="dxa"/>
              <w:start w:w="120" w:type="dxa"/>
              <w:bottom w:w="80" w:type="dxa"/>
              <w:end w:w="120" w:type="dxa"/>
            </w:tcMar>
          </w:tcPr>
          <w:p>
            <w:pPr>
              <w:spacing w:after="20" w:line="252" w:lineRule="auto"/>
            </w:pPr>
            <w:r/>
            <w:r>
              <w:rPr>
                <w:rFonts w:ascii="Arial" w:hAnsi="Arial"/>
                <w:b w:val="0"/>
                <w:i w:val="0"/>
                <w:color w:val="000000"/>
                <w:sz w:val="18"/>
              </w:rPr>
              <w:t>sample_report_001.txt</w:t>
            </w:r>
          </w:p>
        </w:tc>
        <w:tc>
          <w:tcPr>
            <w:tcW w:type="dxa" w:w="1800"/>
            <w:vAlign w:val="center"/>
            <w:tcMar>
              <w:top w:w="80" w:type="dxa"/>
              <w:start w:w="120" w:type="dxa"/>
              <w:bottom w:w="80" w:type="dxa"/>
              <w:end w:w="120" w:type="dxa"/>
            </w:tcMar>
          </w:tcPr>
          <w:p>
            <w:pPr>
              <w:spacing w:after="20" w:line="252" w:lineRule="auto"/>
            </w:pPr>
            <w:r/>
            <w:r>
              <w:rPr>
                <w:rFonts w:ascii="Arial" w:hAnsi="Arial"/>
                <w:b w:val="0"/>
                <w:i w:val="0"/>
                <w:color w:val="000000"/>
                <w:sz w:val="18"/>
              </w:rPr>
              <w:t>12</w:t>
            </w:r>
          </w:p>
        </w:tc>
        <w:tc>
          <w:tcPr>
            <w:tcW w:type="dxa" w:w="2560"/>
            <w:vAlign w:val="center"/>
            <w:tcMar>
              <w:top w:w="80" w:type="dxa"/>
              <w:start w:w="120" w:type="dxa"/>
              <w:bottom w:w="80" w:type="dxa"/>
              <w:end w:w="120" w:type="dxa"/>
            </w:tcMar>
          </w:tcPr>
          <w:p>
            <w:pPr>
              <w:spacing w:after="20" w:line="252" w:lineRule="auto"/>
            </w:pPr>
            <w:r/>
            <w:r>
              <w:rPr>
                <w:rFonts w:ascii="Arial" w:hAnsi="Arial"/>
                <w:b w:val="0"/>
                <w:i w:val="0"/>
                <w:color w:val="000000"/>
                <w:sz w:val="18"/>
              </w:rPr>
              <w:t>Baseline/smoke benchmark [E1]</w:t>
            </w:r>
          </w:p>
        </w:tc>
      </w:tr>
      <w:tr>
        <w:tc>
          <w:tcPr>
            <w:tcW w:type="dxa" w:w="2300"/>
            <w:vAlign w:val="center"/>
            <w:tcMar>
              <w:top w:w="80" w:type="dxa"/>
              <w:start w:w="120" w:type="dxa"/>
              <w:bottom w:w="80" w:type="dxa"/>
              <w:end w:w="120" w:type="dxa"/>
            </w:tcMar>
          </w:tcPr>
          <w:p>
            <w:pPr>
              <w:spacing w:after="20" w:line="252" w:lineRule="auto"/>
            </w:pPr>
            <w:r/>
            <w:r>
              <w:rPr>
                <w:rFonts w:ascii="Arial" w:hAnsi="Arial"/>
                <w:b w:val="0"/>
                <w:i w:val="0"/>
                <w:color w:val="000000"/>
                <w:sz w:val="18"/>
              </w:rPr>
              <w:t>Real JSON proof set</w:t>
            </w:r>
          </w:p>
        </w:tc>
        <w:tc>
          <w:tcPr>
            <w:tcW w:type="dxa" w:w="2700"/>
            <w:vAlign w:val="center"/>
            <w:tcMar>
              <w:top w:w="80" w:type="dxa"/>
              <w:start w:w="120" w:type="dxa"/>
              <w:bottom w:w="80" w:type="dxa"/>
              <w:end w:w="120" w:type="dxa"/>
            </w:tcMar>
          </w:tcPr>
          <w:p>
            <w:pPr>
              <w:spacing w:after="20" w:line="252" w:lineRule="auto"/>
            </w:pPr>
            <w:r/>
            <w:r>
              <w:rPr>
                <w:rFonts w:ascii="Arial" w:hAnsi="Arial"/>
                <w:b w:val="0"/>
                <w:i w:val="0"/>
                <w:color w:val="000000"/>
                <w:sz w:val="18"/>
              </w:rPr>
              <w:t>2-report.json; 4-report.json</w:t>
            </w:r>
          </w:p>
        </w:tc>
        <w:tc>
          <w:tcPr>
            <w:tcW w:type="dxa" w:w="1800"/>
            <w:vAlign w:val="center"/>
            <w:tcMar>
              <w:top w:w="80" w:type="dxa"/>
              <w:start w:w="120" w:type="dxa"/>
              <w:bottom w:w="80" w:type="dxa"/>
              <w:end w:w="120" w:type="dxa"/>
            </w:tcMar>
          </w:tcPr>
          <w:p>
            <w:pPr>
              <w:spacing w:after="20" w:line="252" w:lineRule="auto"/>
            </w:pPr>
            <w:r/>
            <w:r>
              <w:rPr>
                <w:rFonts w:ascii="Arial" w:hAnsi="Arial"/>
                <w:b w:val="0"/>
                <w:i w:val="0"/>
                <w:color w:val="000000"/>
                <w:sz w:val="18"/>
              </w:rPr>
              <w:t>8 per report; 16 total</w:t>
            </w:r>
          </w:p>
        </w:tc>
        <w:tc>
          <w:tcPr>
            <w:tcW w:type="dxa" w:w="2560"/>
            <w:vAlign w:val="center"/>
            <w:tcMar>
              <w:top w:w="80" w:type="dxa"/>
              <w:start w:w="120" w:type="dxa"/>
              <w:bottom w:w="80" w:type="dxa"/>
              <w:end w:w="120" w:type="dxa"/>
            </w:tcMar>
          </w:tcPr>
          <w:p>
            <w:pPr>
              <w:spacing w:after="20" w:line="252" w:lineRule="auto"/>
            </w:pPr>
            <w:r/>
            <w:r>
              <w:rPr>
                <w:rFonts w:ascii="Arial" w:hAnsi="Arial"/>
                <w:b w:val="0"/>
                <w:i w:val="0"/>
                <w:color w:val="000000"/>
                <w:sz w:val="18"/>
              </w:rPr>
              <w:t>Source-derived integration evaluation [E4][E6]</w:t>
            </w:r>
          </w:p>
        </w:tc>
      </w:tr>
      <w:tr>
        <w:tc>
          <w:tcPr>
            <w:tcW w:type="dxa" w:w="2300"/>
            <w:vAlign w:val="center"/>
            <w:tcMar>
              <w:top w:w="80" w:type="dxa"/>
              <w:start w:w="120" w:type="dxa"/>
              <w:bottom w:w="80" w:type="dxa"/>
              <w:end w:w="120" w:type="dxa"/>
            </w:tcMar>
          </w:tcPr>
          <w:p>
            <w:pPr>
              <w:spacing w:after="20" w:line="252" w:lineRule="auto"/>
            </w:pPr>
            <w:r/>
            <w:r>
              <w:rPr>
                <w:rFonts w:ascii="Arial" w:hAnsi="Arial"/>
                <w:b w:val="0"/>
                <w:i w:val="0"/>
                <w:color w:val="000000"/>
                <w:sz w:val="18"/>
              </w:rPr>
              <w:t>Intermediate Markdown</w:t>
            </w:r>
          </w:p>
        </w:tc>
        <w:tc>
          <w:tcPr>
            <w:tcW w:type="dxa" w:w="2700"/>
            <w:vAlign w:val="center"/>
            <w:tcMar>
              <w:top w:w="80" w:type="dxa"/>
              <w:start w:w="120" w:type="dxa"/>
              <w:bottom w:w="80" w:type="dxa"/>
              <w:end w:w="120" w:type="dxa"/>
            </w:tcMar>
          </w:tcPr>
          <w:p>
            <w:pPr>
              <w:spacing w:after="20" w:line="252" w:lineRule="auto"/>
            </w:pPr>
            <w:r/>
            <w:r>
              <w:rPr>
                <w:rFonts w:ascii="Arial" w:hAnsi="Arial"/>
                <w:b w:val="0"/>
                <w:i w:val="0"/>
                <w:color w:val="000000"/>
                <w:sz w:val="18"/>
              </w:rPr>
              <w:t>2-report_intermediate.md; 4-report_intermediate.md</w:t>
            </w:r>
          </w:p>
        </w:tc>
        <w:tc>
          <w:tcPr>
            <w:tcW w:type="dxa" w:w="1800"/>
            <w:vAlign w:val="center"/>
            <w:tcMar>
              <w:top w:w="80" w:type="dxa"/>
              <w:start w:w="120" w:type="dxa"/>
              <w:bottom w:w="80" w:type="dxa"/>
              <w:end w:w="120" w:type="dxa"/>
            </w:tcMar>
          </w:tcPr>
          <w:p>
            <w:pPr>
              <w:spacing w:after="20" w:line="252" w:lineRule="auto"/>
            </w:pPr>
            <w:r/>
            <w:r>
              <w:rPr>
                <w:rFonts w:ascii="Arial" w:hAnsi="Arial"/>
                <w:b w:val="0"/>
                <w:i w:val="0"/>
                <w:color w:val="000000"/>
                <w:sz w:val="18"/>
              </w:rPr>
              <w:t>0</w:t>
            </w:r>
          </w:p>
        </w:tc>
        <w:tc>
          <w:tcPr>
            <w:tcW w:type="dxa" w:w="2560"/>
            <w:vAlign w:val="center"/>
            <w:tcMar>
              <w:top w:w="80" w:type="dxa"/>
              <w:start w:w="120" w:type="dxa"/>
              <w:bottom w:w="80" w:type="dxa"/>
              <w:end w:w="120" w:type="dxa"/>
            </w:tcMar>
          </w:tcPr>
          <w:p>
            <w:pPr>
              <w:spacing w:after="20" w:line="252" w:lineRule="auto"/>
            </w:pPr>
            <w:r/>
            <w:r>
              <w:rPr>
                <w:rFonts w:ascii="Arial" w:hAnsi="Arial"/>
                <w:b w:val="0"/>
                <w:i w:val="0"/>
                <w:color w:val="000000"/>
                <w:sz w:val="18"/>
              </w:rPr>
              <w:t>Extraction audit artifacts; not duplicate indexed reports [E6]</w:t>
            </w:r>
          </w:p>
        </w:tc>
      </w:tr>
    </w:tbl>
    <w:p>
      <w:pPr>
        <w:spacing w:after="20"/>
      </w:pPr>
    </w:p>
    <w:p>
      <w:pPr>
        <w:pStyle w:val="Heading1"/>
      </w:pPr>
      <w:r>
        <w:t>Question design</w:t>
      </w:r>
    </w:p>
    <w:p>
      <w:pPr>
        <w:spacing w:after="120" w:line="276" w:lineRule="auto"/>
      </w:pPr>
      <w:r>
        <w:rPr>
          <w:rFonts w:ascii="Arial" w:hAnsi="Arial"/>
          <w:b w:val="0"/>
          <w:i w:val="0"/>
          <w:color w:val="000000"/>
          <w:sz w:val="21"/>
        </w:rPr>
        <w:t>The real-report set asks whether reports contain detailed findings, high severity, open status, CWE classifications, remediation, an all-closed statement, timeline evidence, and a no-findings statement. The same eight question templates are applied to both reports. [E6]</w:t>
      </w:r>
    </w:p>
    <w:p>
      <w:pPr>
        <w:spacing w:after="120" w:line="276" w:lineRule="auto"/>
      </w:pPr>
      <w:r>
        <w:rPr>
          <w:rFonts w:ascii="Arial" w:hAnsi="Arial"/>
          <w:b w:val="0"/>
          <w:i w:val="0"/>
          <w:color w:val="000000"/>
          <w:sz w:val="21"/>
        </w:rPr>
        <w:t>Gold answers and gold chunk IDs are stored per report in the saved run configuration. This supports traceability but is not independent annotation: the question set and labels were derived from the same supplied reports. [E4]</w:t>
      </w:r>
    </w:p>
    <w:p>
      <w:pPr>
        <w:pStyle w:val="Heading1"/>
      </w:pPr>
      <w:r>
        <w:t>Method</w:t>
      </w:r>
    </w:p>
    <w:tbl>
      <w:tblPr>
        <w:tblStyle w:val="TableGrid"/>
        <w:tblW w:type="dxa" w:w="9360"/>
        <w:tblLayout w:type="fixed"/>
        <w:tblLook w:firstColumn="1" w:firstRow="1" w:lastColumn="0" w:lastRow="0" w:noHBand="0" w:noVBand="1" w:val="04A0"/>
        <w:tblInd w:w="120" w:type="dxa"/>
      </w:tblPr>
      <w:tblGrid>
        <w:gridCol w:w="1500"/>
        <w:gridCol w:w="4800"/>
        <w:gridCol w:w="3060"/>
      </w:tblGrid>
      <w:tr>
        <w:tc>
          <w:tcPr>
            <w:tcW w:type="dxa" w:w="1500"/>
            <w:vAlign w:val="center"/>
            <w:tcMar>
              <w:top w:w="80" w:type="dxa"/>
              <w:start w:w="120" w:type="dxa"/>
              <w:bottom w:w="80" w:type="dxa"/>
              <w:end w:w="120" w:type="dxa"/>
            </w:tcMar>
          </w:tcPr>
          <w:p>
            <w:pPr>
              <w:spacing w:after="20"/>
            </w:pPr>
            <w:r/>
            <w:r>
              <w:rPr>
                <w:rFonts w:ascii="Arial" w:hAnsi="Arial"/>
                <w:b/>
                <w:i w:val="0"/>
                <w:color w:val="000000"/>
                <w:sz w:val="18"/>
              </w:rPr>
              <w:t>Layer</w:t>
            </w:r>
          </w:p>
        </w:tc>
        <w:tc>
          <w:tcPr>
            <w:tcW w:type="dxa" w:w="4800"/>
            <w:vAlign w:val="center"/>
            <w:tcMar>
              <w:top w:w="80" w:type="dxa"/>
              <w:start w:w="120" w:type="dxa"/>
              <w:bottom w:w="80" w:type="dxa"/>
              <w:end w:w="120" w:type="dxa"/>
            </w:tcMar>
          </w:tcPr>
          <w:p>
            <w:pPr>
              <w:spacing w:after="20"/>
            </w:pPr>
            <w:r/>
            <w:r>
              <w:rPr>
                <w:rFonts w:ascii="Arial" w:hAnsi="Arial"/>
                <w:b/>
                <w:i w:val="0"/>
                <w:color w:val="000000"/>
                <w:sz w:val="18"/>
              </w:rPr>
              <w:t>Method</w:t>
            </w:r>
          </w:p>
        </w:tc>
        <w:tc>
          <w:tcPr>
            <w:tcW w:type="dxa" w:w="3060"/>
            <w:vAlign w:val="center"/>
            <w:tcMar>
              <w:top w:w="80" w:type="dxa"/>
              <w:start w:w="120" w:type="dxa"/>
              <w:bottom w:w="80" w:type="dxa"/>
              <w:end w:w="120" w:type="dxa"/>
            </w:tcMar>
          </w:tcPr>
          <w:p>
            <w:pPr>
              <w:spacing w:after="20"/>
            </w:pPr>
            <w:r/>
            <w:r>
              <w:rPr>
                <w:rFonts w:ascii="Arial" w:hAnsi="Arial"/>
                <w:b/>
                <w:i w:val="0"/>
                <w:color w:val="000000"/>
                <w:sz w:val="18"/>
              </w:rPr>
              <w:t>Reported measures</w:t>
            </w:r>
          </w:p>
        </w:tc>
      </w:tr>
      <w:tr>
        <w:tc>
          <w:tcPr>
            <w:tcW w:type="dxa" w:w="1500"/>
            <w:vAlign w:val="center"/>
            <w:tcMar>
              <w:top w:w="80" w:type="dxa"/>
              <w:start w:w="120" w:type="dxa"/>
              <w:bottom w:w="80" w:type="dxa"/>
              <w:end w:w="120" w:type="dxa"/>
            </w:tcMar>
          </w:tcPr>
          <w:p>
            <w:pPr>
              <w:spacing w:after="20" w:line="252" w:lineRule="auto"/>
            </w:pPr>
            <w:r/>
            <w:r>
              <w:rPr>
                <w:rFonts w:ascii="Arial" w:hAnsi="Arial"/>
                <w:b w:val="0"/>
                <w:i w:val="0"/>
                <w:color w:val="000000"/>
                <w:sz w:val="18"/>
              </w:rPr>
              <w:t>Retrieval</w:t>
            </w:r>
          </w:p>
        </w:tc>
        <w:tc>
          <w:tcPr>
            <w:tcW w:type="dxa" w:w="4800"/>
            <w:vAlign w:val="center"/>
            <w:tcMar>
              <w:top w:w="80" w:type="dxa"/>
              <w:start w:w="120" w:type="dxa"/>
              <w:bottom w:w="80" w:type="dxa"/>
              <w:end w:w="120" w:type="dxa"/>
            </w:tcMar>
          </w:tcPr>
          <w:p>
            <w:pPr>
              <w:spacing w:after="20" w:line="252" w:lineRule="auto"/>
            </w:pPr>
            <w:r/>
            <w:r>
              <w:rPr>
                <w:rFonts w:ascii="Arial" w:hAnsi="Arial"/>
                <w:b w:val="0"/>
                <w:i w:val="0"/>
                <w:color w:val="000000"/>
                <w:sz w:val="18"/>
              </w:rPr>
              <w:t>Compare returned chunk IDs with gold chunk IDs</w:t>
            </w:r>
          </w:p>
        </w:tc>
        <w:tc>
          <w:tcPr>
            <w:tcW w:type="dxa" w:w="3060"/>
            <w:vAlign w:val="center"/>
            <w:tcMar>
              <w:top w:w="80" w:type="dxa"/>
              <w:start w:w="120" w:type="dxa"/>
              <w:bottom w:w="80" w:type="dxa"/>
              <w:end w:w="120" w:type="dxa"/>
            </w:tcMar>
          </w:tcPr>
          <w:p>
            <w:pPr>
              <w:spacing w:after="20" w:line="252" w:lineRule="auto"/>
            </w:pPr>
            <w:r/>
            <w:r>
              <w:rPr>
                <w:rFonts w:ascii="Arial" w:hAnsi="Arial"/>
                <w:b w:val="0"/>
                <w:i w:val="0"/>
                <w:color w:val="000000"/>
                <w:sz w:val="18"/>
              </w:rPr>
              <w:t>Precision@k, Recall@k, Hit Rate@k, MRR, nDCG@k [E5]</w:t>
            </w:r>
          </w:p>
        </w:tc>
      </w:tr>
      <w:tr>
        <w:tc>
          <w:tcPr>
            <w:tcW w:type="dxa" w:w="1500"/>
            <w:vAlign w:val="center"/>
            <w:tcMar>
              <w:top w:w="80" w:type="dxa"/>
              <w:start w:w="120" w:type="dxa"/>
              <w:bottom w:w="80" w:type="dxa"/>
              <w:end w:w="120" w:type="dxa"/>
            </w:tcMar>
          </w:tcPr>
          <w:p>
            <w:pPr>
              <w:spacing w:after="20" w:line="252" w:lineRule="auto"/>
            </w:pPr>
            <w:r/>
            <w:r>
              <w:rPr>
                <w:rFonts w:ascii="Arial" w:hAnsi="Arial"/>
                <w:b w:val="0"/>
                <w:i w:val="0"/>
                <w:color w:val="000000"/>
                <w:sz w:val="18"/>
              </w:rPr>
              <w:t>Question response</w:t>
            </w:r>
          </w:p>
        </w:tc>
        <w:tc>
          <w:tcPr>
            <w:tcW w:type="dxa" w:w="4800"/>
            <w:vAlign w:val="center"/>
            <w:tcMar>
              <w:top w:w="80" w:type="dxa"/>
              <w:start w:w="120" w:type="dxa"/>
              <w:bottom w:w="80" w:type="dxa"/>
              <w:end w:w="120" w:type="dxa"/>
            </w:tcMar>
          </w:tcPr>
          <w:p>
            <w:pPr>
              <w:spacing w:after="20" w:line="252" w:lineRule="auto"/>
            </w:pPr>
            <w:r/>
            <w:r>
              <w:rPr>
                <w:rFonts w:ascii="Arial" w:hAnsi="Arial"/>
                <w:b w:val="0"/>
                <w:i w:val="0"/>
                <w:color w:val="000000"/>
                <w:sz w:val="18"/>
              </w:rPr>
              <w:t>Compare structured answer with gold answer</w:t>
            </w:r>
          </w:p>
        </w:tc>
        <w:tc>
          <w:tcPr>
            <w:tcW w:type="dxa" w:w="3060"/>
            <w:vAlign w:val="center"/>
            <w:tcMar>
              <w:top w:w="80" w:type="dxa"/>
              <w:start w:w="120" w:type="dxa"/>
              <w:bottom w:w="80" w:type="dxa"/>
              <w:end w:w="120" w:type="dxa"/>
            </w:tcMar>
          </w:tcPr>
          <w:p>
            <w:pPr>
              <w:spacing w:after="20" w:line="252" w:lineRule="auto"/>
            </w:pPr>
            <w:r/>
            <w:r>
              <w:rPr>
                <w:rFonts w:ascii="Arial" w:hAnsi="Arial"/>
                <w:b w:val="0"/>
                <w:i w:val="0"/>
                <w:color w:val="000000"/>
                <w:sz w:val="18"/>
              </w:rPr>
              <w:t>Accuracy, per-class metrics, macro-F1, confusion matrix [E5]</w:t>
            </w:r>
          </w:p>
        </w:tc>
      </w:tr>
      <w:tr>
        <w:tc>
          <w:tcPr>
            <w:tcW w:type="dxa" w:w="1500"/>
            <w:vAlign w:val="center"/>
            <w:tcMar>
              <w:top w:w="80" w:type="dxa"/>
              <w:start w:w="120" w:type="dxa"/>
              <w:bottom w:w="80" w:type="dxa"/>
              <w:end w:w="120" w:type="dxa"/>
            </w:tcMar>
          </w:tcPr>
          <w:p>
            <w:pPr>
              <w:spacing w:after="20" w:line="252" w:lineRule="auto"/>
            </w:pPr>
            <w:r/>
            <w:r>
              <w:rPr>
                <w:rFonts w:ascii="Arial" w:hAnsi="Arial"/>
                <w:b w:val="0"/>
                <w:i w:val="0"/>
                <w:color w:val="000000"/>
                <w:sz w:val="18"/>
              </w:rPr>
              <w:t>Grounding</w:t>
            </w:r>
          </w:p>
        </w:tc>
        <w:tc>
          <w:tcPr>
            <w:tcW w:type="dxa" w:w="4800"/>
            <w:vAlign w:val="center"/>
            <w:tcMar>
              <w:top w:w="80" w:type="dxa"/>
              <w:start w:w="120" w:type="dxa"/>
              <w:bottom w:w="80" w:type="dxa"/>
              <w:end w:w="120" w:type="dxa"/>
            </w:tcMar>
          </w:tcPr>
          <w:p>
            <w:pPr>
              <w:spacing w:after="20" w:line="252" w:lineRule="auto"/>
            </w:pPr>
            <w:r/>
            <w:r>
              <w:rPr>
                <w:rFonts w:ascii="Arial" w:hAnsi="Arial"/>
                <w:b w:val="0"/>
                <w:i w:val="0"/>
                <w:color w:val="000000"/>
                <w:sz w:val="18"/>
              </w:rPr>
              <w:t>Check evidence IDs and lexical support in returned context</w:t>
            </w:r>
          </w:p>
        </w:tc>
        <w:tc>
          <w:tcPr>
            <w:tcW w:type="dxa" w:w="3060"/>
            <w:vAlign w:val="center"/>
            <w:tcMar>
              <w:top w:w="80" w:type="dxa"/>
              <w:start w:w="120" w:type="dxa"/>
              <w:bottom w:w="80" w:type="dxa"/>
              <w:end w:w="120" w:type="dxa"/>
            </w:tcMar>
          </w:tcPr>
          <w:p>
            <w:pPr>
              <w:spacing w:after="20" w:line="252" w:lineRule="auto"/>
            </w:pPr>
            <w:r/>
            <w:r>
              <w:rPr>
                <w:rFonts w:ascii="Arial" w:hAnsi="Arial"/>
                <w:b w:val="0"/>
                <w:i w:val="0"/>
                <w:color w:val="000000"/>
                <w:sz w:val="18"/>
              </w:rPr>
              <w:t>Grounding rate; CRAG measures [E5][E8]</w:t>
            </w:r>
          </w:p>
        </w:tc>
      </w:tr>
      <w:tr>
        <w:tc>
          <w:tcPr>
            <w:tcW w:type="dxa" w:w="1500"/>
            <w:vAlign w:val="center"/>
            <w:tcMar>
              <w:top w:w="80" w:type="dxa"/>
              <w:start w:w="120" w:type="dxa"/>
              <w:bottom w:w="80" w:type="dxa"/>
              <w:end w:w="120" w:type="dxa"/>
            </w:tcMar>
          </w:tcPr>
          <w:p>
            <w:pPr>
              <w:spacing w:after="20" w:line="252" w:lineRule="auto"/>
            </w:pPr>
            <w:r/>
            <w:r>
              <w:rPr>
                <w:rFonts w:ascii="Arial" w:hAnsi="Arial"/>
                <w:b w:val="0"/>
                <w:i w:val="0"/>
                <w:color w:val="000000"/>
                <w:sz w:val="18"/>
              </w:rPr>
              <w:t>Audit score</w:t>
            </w:r>
          </w:p>
        </w:tc>
        <w:tc>
          <w:tcPr>
            <w:tcW w:type="dxa" w:w="4800"/>
            <w:vAlign w:val="center"/>
            <w:tcMar>
              <w:top w:w="80" w:type="dxa"/>
              <w:start w:w="120" w:type="dxa"/>
              <w:bottom w:w="80" w:type="dxa"/>
              <w:end w:w="120" w:type="dxa"/>
            </w:tcMar>
          </w:tcPr>
          <w:p>
            <w:pPr>
              <w:spacing w:after="20" w:line="252" w:lineRule="auto"/>
            </w:pPr>
            <w:r/>
            <w:r>
              <w:rPr>
                <w:rFonts w:ascii="Arial" w:hAnsi="Arial"/>
                <w:b w:val="0"/>
                <w:i w:val="0"/>
                <w:color w:val="000000"/>
                <w:sz w:val="18"/>
              </w:rPr>
              <w:t>Count Yes answers and apply 70% threshold</w:t>
            </w:r>
          </w:p>
        </w:tc>
        <w:tc>
          <w:tcPr>
            <w:tcW w:type="dxa" w:w="3060"/>
            <w:vAlign w:val="center"/>
            <w:tcMar>
              <w:top w:w="80" w:type="dxa"/>
              <w:start w:w="120" w:type="dxa"/>
              <w:bottom w:w="80" w:type="dxa"/>
              <w:end w:w="120" w:type="dxa"/>
            </w:tcMar>
          </w:tcPr>
          <w:p>
            <w:pPr>
              <w:spacing w:after="20" w:line="252" w:lineRule="auto"/>
            </w:pPr>
            <w:r/>
            <w:r>
              <w:rPr>
                <w:rFonts w:ascii="Arial" w:hAnsi="Arial"/>
                <w:b w:val="0"/>
                <w:i w:val="0"/>
                <w:color w:val="000000"/>
                <w:sz w:val="18"/>
              </w:rPr>
              <w:t>Positive count, percentage, PASS/FAIL [E5]</w:t>
            </w:r>
          </w:p>
        </w:tc>
      </w:tr>
    </w:tbl>
    <w:p>
      <w:pPr>
        <w:spacing w:after="20"/>
      </w:pPr>
    </w:p>
    <w:p>
      <w:pPr>
        <w:pStyle w:val="Heading1"/>
      </w:pPr>
      <w:r>
        <w:t>Limitations and next dataset</w:t>
      </w:r>
    </w:p>
    <w:p>
      <w:pPr>
        <w:spacing w:after="120" w:line="276" w:lineRule="auto"/>
      </w:pPr>
      <w:r>
        <w:rPr>
          <w:rFonts w:ascii="Arial" w:hAnsi="Arial"/>
          <w:b w:val="0"/>
          <w:i w:val="0"/>
          <w:color w:val="000000"/>
          <w:sz w:val="21"/>
        </w:rPr>
        <w:t>The 16-pair real-report set has 12 Yes and 4 No gold labels and zero Insufficient Evidence examples. Its macro-F1 cannot establish abstention safety. [E5]</w:t>
      </w:r>
    </w:p>
    <w:p>
      <w:pPr>
        <w:spacing w:after="120" w:line="276" w:lineRule="auto"/>
      </w:pPr>
      <w:r>
        <w:rPr>
          <w:rFonts w:ascii="Arial" w:hAnsi="Arial"/>
          <w:b w:val="0"/>
          <w:i w:val="0"/>
          <w:color w:val="000000"/>
          <w:sz w:val="21"/>
        </w:rPr>
        <w:t>A credible next evaluation should use report-level train/dev/test separation, independent labels and acceptable evidence spans, multiple agencies and report types, and explicit missing-evidence, contradiction, OCR-noise and visual cases. The planning target is at least 40 reports across VAPT, network, mobile and web/application domains. [E8]</w:t>
      </w:r>
    </w:p>
    <w:p>
      <w:pPr>
        <w:pStyle w:val="Heading1"/>
      </w:pPr>
      <w:r>
        <w:t>Conclusion</w:t>
      </w:r>
    </w:p>
    <w:p>
      <w:pPr>
        <w:spacing w:after="120" w:line="276" w:lineRule="auto"/>
      </w:pPr>
      <w:r>
        <w:rPr>
          <w:rFonts w:ascii="Arial" w:hAnsi="Arial"/>
          <w:b w:val="0"/>
          <w:i w:val="0"/>
          <w:color w:val="000000"/>
          <w:sz w:val="21"/>
        </w:rPr>
        <w:t>This dataset is suitable for implementation integration and error analysis. It is not sufficient for generalisation or production-quality claims.</w:t>
      </w:r>
    </w:p>
    <w:p>
      <w:pPr>
        <w:pStyle w:val="Heading1"/>
      </w:pPr>
      <w:r>
        <w:t>Controlled-comparison contract</w:t>
      </w:r>
    </w:p>
    <w:tbl>
      <w:tblPr>
        <w:tblStyle w:val="TableGrid"/>
        <w:tblW w:type="dxa" w:w="9710"/>
        <w:tblLayout w:type="fixed"/>
        <w:tblLook w:firstColumn="1" w:firstRow="1" w:lastColumn="0" w:lastRow="0" w:noHBand="0" w:noVBand="1" w:val="04A0"/>
        <w:tblInd w:w="120" w:type="dxa"/>
      </w:tblPr>
      <w:tblGrid>
        <w:gridCol w:w="1400"/>
        <w:gridCol w:w="4950"/>
        <w:gridCol w:w="3360"/>
      </w:tblGrid>
      <w:tr>
        <w:tc>
          <w:tcPr>
            <w:tcW w:type="dxa" w:w="1400"/>
            <w:vAlign w:val="center"/>
            <w:tcMar>
              <w:top w:w="80" w:type="dxa"/>
              <w:start w:w="120" w:type="dxa"/>
              <w:bottom w:w="80" w:type="dxa"/>
              <w:end w:w="120" w:type="dxa"/>
            </w:tcMar>
          </w:tcPr>
          <w:p>
            <w:pPr>
              <w:spacing w:after="20"/>
            </w:pPr>
            <w:r/>
            <w:r>
              <w:rPr>
                <w:rFonts w:ascii="Arial" w:hAnsi="Arial"/>
                <w:b/>
                <w:i w:val="0"/>
                <w:color w:val="000000"/>
                <w:sz w:val="18"/>
              </w:rPr>
              <w:t>When comparing</w:t>
            </w:r>
          </w:p>
        </w:tc>
        <w:tc>
          <w:tcPr>
            <w:tcW w:type="dxa" w:w="4950"/>
            <w:vAlign w:val="center"/>
            <w:tcMar>
              <w:top w:w="80" w:type="dxa"/>
              <w:start w:w="120" w:type="dxa"/>
              <w:bottom w:w="80" w:type="dxa"/>
              <w:end w:w="120" w:type="dxa"/>
            </w:tcMar>
          </w:tcPr>
          <w:p>
            <w:pPr>
              <w:spacing w:after="20"/>
            </w:pPr>
            <w:r/>
            <w:r>
              <w:rPr>
                <w:rFonts w:ascii="Arial" w:hAnsi="Arial"/>
                <w:b/>
                <w:i w:val="0"/>
                <w:color w:val="000000"/>
                <w:sz w:val="18"/>
              </w:rPr>
              <w:t>Held constant</w:t>
            </w:r>
          </w:p>
        </w:tc>
        <w:tc>
          <w:tcPr>
            <w:tcW w:type="dxa" w:w="3360"/>
            <w:vAlign w:val="center"/>
            <w:tcMar>
              <w:top w:w="80" w:type="dxa"/>
              <w:start w:w="120" w:type="dxa"/>
              <w:bottom w:w="80" w:type="dxa"/>
              <w:end w:w="120" w:type="dxa"/>
            </w:tcMar>
          </w:tcPr>
          <w:p>
            <w:pPr>
              <w:spacing w:after="20"/>
            </w:pPr>
            <w:r/>
            <w:r>
              <w:rPr>
                <w:rFonts w:ascii="Arial" w:hAnsi="Arial"/>
                <w:b/>
                <w:i w:val="0"/>
                <w:color w:val="000000"/>
                <w:sz w:val="18"/>
              </w:rPr>
              <w:t>Changed variable</w:t>
            </w:r>
          </w:p>
        </w:tc>
      </w:tr>
      <w:tr>
        <w:tc>
          <w:tcPr>
            <w:tcW w:type="dxa" w:w="1400"/>
            <w:vAlign w:val="center"/>
            <w:tcMar>
              <w:top w:w="80" w:type="dxa"/>
              <w:start w:w="120" w:type="dxa"/>
              <w:bottom w:w="80" w:type="dxa"/>
              <w:end w:w="120" w:type="dxa"/>
            </w:tcMar>
          </w:tcPr>
          <w:p>
            <w:pPr>
              <w:spacing w:after="20" w:line="252" w:lineRule="auto"/>
            </w:pPr>
            <w:r/>
            <w:r>
              <w:rPr>
                <w:rFonts w:ascii="Arial" w:hAnsi="Arial"/>
                <w:b w:val="0"/>
                <w:i w:val="0"/>
                <w:color w:val="000000"/>
                <w:sz w:val="18"/>
              </w:rPr>
              <w:t>LLMs</w:t>
            </w:r>
          </w:p>
        </w:tc>
        <w:tc>
          <w:tcPr>
            <w:tcW w:type="dxa" w:w="4950"/>
            <w:vAlign w:val="center"/>
            <w:tcMar>
              <w:top w:w="80" w:type="dxa"/>
              <w:start w:w="120" w:type="dxa"/>
              <w:bottom w:w="80" w:type="dxa"/>
              <w:end w:w="120" w:type="dxa"/>
            </w:tcMar>
          </w:tcPr>
          <w:p>
            <w:pPr>
              <w:spacing w:after="20" w:line="252" w:lineRule="auto"/>
            </w:pPr>
            <w:r/>
            <w:r>
              <w:rPr>
                <w:rFonts w:ascii="Arial" w:hAnsi="Arial"/>
                <w:b w:val="0"/>
                <w:i w:val="0"/>
                <w:color w:val="000000"/>
                <w:sz w:val="18"/>
              </w:rPr>
              <w:t>Reports, 16 pairs, labels, retrieval budget, prompt schema, seed</w:t>
            </w:r>
          </w:p>
        </w:tc>
        <w:tc>
          <w:tcPr>
            <w:tcW w:type="dxa" w:w="3360"/>
            <w:vAlign w:val="center"/>
            <w:tcMar>
              <w:top w:w="80" w:type="dxa"/>
              <w:start w:w="120" w:type="dxa"/>
              <w:bottom w:w="80" w:type="dxa"/>
              <w:end w:w="120" w:type="dxa"/>
            </w:tcMar>
          </w:tcPr>
          <w:p>
            <w:pPr>
              <w:spacing w:after="20" w:line="252" w:lineRule="auto"/>
            </w:pPr>
            <w:r/>
            <w:r>
              <w:rPr>
                <w:rFonts w:ascii="Arial" w:hAnsi="Arial"/>
                <w:b w:val="0"/>
                <w:i w:val="0"/>
                <w:color w:val="000000"/>
                <w:sz w:val="18"/>
              </w:rPr>
              <w:t>Generator model</w:t>
            </w:r>
          </w:p>
        </w:tc>
      </w:tr>
      <w:tr>
        <w:tc>
          <w:tcPr>
            <w:tcW w:type="dxa" w:w="1400"/>
            <w:vAlign w:val="center"/>
            <w:tcMar>
              <w:top w:w="80" w:type="dxa"/>
              <w:start w:w="120" w:type="dxa"/>
              <w:bottom w:w="80" w:type="dxa"/>
              <w:end w:w="120" w:type="dxa"/>
            </w:tcMar>
          </w:tcPr>
          <w:p>
            <w:pPr>
              <w:spacing w:after="20" w:line="252" w:lineRule="auto"/>
            </w:pPr>
            <w:r/>
            <w:r>
              <w:rPr>
                <w:rFonts w:ascii="Arial" w:hAnsi="Arial"/>
                <w:b w:val="0"/>
                <w:i w:val="0"/>
                <w:color w:val="000000"/>
                <w:sz w:val="18"/>
              </w:rPr>
              <w:t>ICL</w:t>
            </w:r>
          </w:p>
        </w:tc>
        <w:tc>
          <w:tcPr>
            <w:tcW w:type="dxa" w:w="4950"/>
            <w:vAlign w:val="center"/>
            <w:tcMar>
              <w:top w:w="80" w:type="dxa"/>
              <w:start w:w="120" w:type="dxa"/>
              <w:bottom w:w="80" w:type="dxa"/>
              <w:end w:w="120" w:type="dxa"/>
            </w:tcMar>
          </w:tcPr>
          <w:p>
            <w:pPr>
              <w:spacing w:after="20" w:line="252" w:lineRule="auto"/>
            </w:pPr>
            <w:r/>
            <w:r>
              <w:rPr>
                <w:rFonts w:ascii="Arial" w:hAnsi="Arial"/>
                <w:b w:val="0"/>
                <w:i w:val="0"/>
                <w:color w:val="000000"/>
                <w:sz w:val="18"/>
              </w:rPr>
              <w:t>Reports, labels, retrieval, Qwen2.5 control, seed</w:t>
            </w:r>
          </w:p>
        </w:tc>
        <w:tc>
          <w:tcPr>
            <w:tcW w:type="dxa" w:w="3360"/>
            <w:vAlign w:val="center"/>
            <w:tcMar>
              <w:top w:w="80" w:type="dxa"/>
              <w:start w:w="120" w:type="dxa"/>
              <w:bottom w:w="80" w:type="dxa"/>
              <w:end w:w="120" w:type="dxa"/>
            </w:tcMar>
          </w:tcPr>
          <w:p>
            <w:pPr>
              <w:spacing w:after="20" w:line="252" w:lineRule="auto"/>
            </w:pPr>
            <w:r/>
            <w:r>
              <w:rPr>
                <w:rFonts w:ascii="Arial" w:hAnsi="Arial"/>
                <w:b w:val="0"/>
                <w:i w:val="0"/>
                <w:color w:val="000000"/>
                <w:sz w:val="18"/>
              </w:rPr>
              <w:t>Example-selection strategy</w:t>
            </w:r>
          </w:p>
        </w:tc>
      </w:tr>
      <w:tr>
        <w:tc>
          <w:tcPr>
            <w:tcW w:type="dxa" w:w="1400"/>
            <w:vAlign w:val="center"/>
            <w:tcMar>
              <w:top w:w="80" w:type="dxa"/>
              <w:start w:w="120" w:type="dxa"/>
              <w:bottom w:w="80" w:type="dxa"/>
              <w:end w:w="120" w:type="dxa"/>
            </w:tcMar>
          </w:tcPr>
          <w:p>
            <w:pPr>
              <w:spacing w:after="20" w:line="252" w:lineRule="auto"/>
            </w:pPr>
            <w:r/>
            <w:r>
              <w:rPr>
                <w:rFonts w:ascii="Arial" w:hAnsi="Arial"/>
                <w:b w:val="0"/>
                <w:i w:val="0"/>
                <w:color w:val="000000"/>
                <w:sz w:val="18"/>
              </w:rPr>
              <w:t>Prompts</w:t>
            </w:r>
          </w:p>
        </w:tc>
        <w:tc>
          <w:tcPr>
            <w:tcW w:type="dxa" w:w="4950"/>
            <w:vAlign w:val="center"/>
            <w:tcMar>
              <w:top w:w="80" w:type="dxa"/>
              <w:start w:w="120" w:type="dxa"/>
              <w:bottom w:w="80" w:type="dxa"/>
              <w:end w:w="120" w:type="dxa"/>
            </w:tcMar>
          </w:tcPr>
          <w:p>
            <w:pPr>
              <w:spacing w:after="20" w:line="252" w:lineRule="auto"/>
            </w:pPr>
            <w:r/>
            <w:r>
              <w:rPr>
                <w:rFonts w:ascii="Arial" w:hAnsi="Arial"/>
                <w:b w:val="0"/>
                <w:i w:val="0"/>
                <w:color w:val="000000"/>
                <w:sz w:val="18"/>
              </w:rPr>
              <w:t>Reports, labels, retrieval, Qwen2.5 control, seed</w:t>
            </w:r>
          </w:p>
        </w:tc>
        <w:tc>
          <w:tcPr>
            <w:tcW w:type="dxa" w:w="3360"/>
            <w:vAlign w:val="center"/>
            <w:tcMar>
              <w:top w:w="80" w:type="dxa"/>
              <w:start w:w="120" w:type="dxa"/>
              <w:bottom w:w="80" w:type="dxa"/>
              <w:end w:w="120" w:type="dxa"/>
            </w:tcMar>
          </w:tcPr>
          <w:p>
            <w:pPr>
              <w:spacing w:after="20" w:line="252" w:lineRule="auto"/>
            </w:pPr>
            <w:r/>
            <w:r>
              <w:rPr>
                <w:rFonts w:ascii="Arial" w:hAnsi="Arial"/>
                <w:b w:val="0"/>
                <w:i w:val="0"/>
                <w:color w:val="000000"/>
                <w:sz w:val="18"/>
              </w:rPr>
              <w:t>v1 direct versus v2 evidence review</w:t>
            </w:r>
          </w:p>
        </w:tc>
      </w:tr>
      <w:tr>
        <w:tc>
          <w:tcPr>
            <w:tcW w:type="dxa" w:w="1400"/>
            <w:vAlign w:val="center"/>
            <w:tcMar>
              <w:top w:w="80" w:type="dxa"/>
              <w:start w:w="120" w:type="dxa"/>
              <w:bottom w:w="80" w:type="dxa"/>
              <w:end w:w="120" w:type="dxa"/>
            </w:tcMar>
          </w:tcPr>
          <w:p>
            <w:pPr>
              <w:spacing w:after="20" w:line="252" w:lineRule="auto"/>
            </w:pPr>
            <w:r/>
            <w:r>
              <w:rPr>
                <w:rFonts w:ascii="Arial" w:hAnsi="Arial"/>
                <w:b w:val="0"/>
                <w:i w:val="0"/>
                <w:color w:val="000000"/>
                <w:sz w:val="18"/>
              </w:rPr>
              <w:t>Retrieval</w:t>
            </w:r>
          </w:p>
        </w:tc>
        <w:tc>
          <w:tcPr>
            <w:tcW w:type="dxa" w:w="4950"/>
            <w:vAlign w:val="center"/>
            <w:tcMar>
              <w:top w:w="80" w:type="dxa"/>
              <w:start w:w="120" w:type="dxa"/>
              <w:bottom w:w="80" w:type="dxa"/>
              <w:end w:w="120" w:type="dxa"/>
            </w:tcMar>
          </w:tcPr>
          <w:p>
            <w:pPr>
              <w:spacing w:after="20" w:line="252" w:lineRule="auto"/>
            </w:pPr>
            <w:r/>
            <w:r>
              <w:rPr>
                <w:rFonts w:ascii="Arial" w:hAnsi="Arial"/>
                <w:b w:val="0"/>
                <w:i w:val="0"/>
                <w:color w:val="000000"/>
                <w:sz w:val="18"/>
              </w:rPr>
              <w:t>Reports, labels, generator, top-8, prompt</w:t>
            </w:r>
          </w:p>
        </w:tc>
        <w:tc>
          <w:tcPr>
            <w:tcW w:type="dxa" w:w="3360"/>
            <w:vAlign w:val="center"/>
            <w:tcMar>
              <w:top w:w="80" w:type="dxa"/>
              <w:start w:w="120" w:type="dxa"/>
              <w:bottom w:w="80" w:type="dxa"/>
              <w:end w:w="120" w:type="dxa"/>
            </w:tcMar>
          </w:tcPr>
          <w:p>
            <w:pPr>
              <w:spacing w:after="20" w:line="252" w:lineRule="auto"/>
            </w:pPr>
            <w:r/>
            <w:r>
              <w:rPr>
                <w:rFonts w:ascii="Arial" w:hAnsi="Arial"/>
                <w:b w:val="0"/>
                <w:i w:val="0"/>
                <w:color w:val="000000"/>
                <w:sz w:val="18"/>
              </w:rPr>
              <w:t>Dense-only versus hybrid</w:t>
            </w:r>
          </w:p>
        </w:tc>
      </w:tr>
      <w:tr>
        <w:tc>
          <w:tcPr>
            <w:tcW w:type="dxa" w:w="1400"/>
            <w:vAlign w:val="center"/>
            <w:tcMar>
              <w:top w:w="80" w:type="dxa"/>
              <w:start w:w="120" w:type="dxa"/>
              <w:bottom w:w="80" w:type="dxa"/>
              <w:end w:w="120" w:type="dxa"/>
            </w:tcMar>
          </w:tcPr>
          <w:p>
            <w:pPr>
              <w:spacing w:after="20" w:line="252" w:lineRule="auto"/>
            </w:pPr>
            <w:r/>
            <w:r>
              <w:rPr>
                <w:rFonts w:ascii="Arial" w:hAnsi="Arial"/>
                <w:b w:val="0"/>
                <w:i w:val="0"/>
                <w:color w:val="000000"/>
                <w:sz w:val="18"/>
              </w:rPr>
              <w:t>Chunking</w:t>
            </w:r>
          </w:p>
        </w:tc>
        <w:tc>
          <w:tcPr>
            <w:tcW w:type="dxa" w:w="4950"/>
            <w:vAlign w:val="center"/>
            <w:tcMar>
              <w:top w:w="80" w:type="dxa"/>
              <w:start w:w="120" w:type="dxa"/>
              <w:bottom w:w="80" w:type="dxa"/>
              <w:end w:w="120" w:type="dxa"/>
            </w:tcMar>
          </w:tcPr>
          <w:p>
            <w:pPr>
              <w:spacing w:after="20" w:line="252" w:lineRule="auto"/>
            </w:pPr>
            <w:r/>
            <w:r>
              <w:rPr>
                <w:rFonts w:ascii="Arial" w:hAnsi="Arial"/>
                <w:b w:val="0"/>
                <w:i w:val="0"/>
                <w:color w:val="000000"/>
                <w:sz w:val="18"/>
              </w:rPr>
              <w:t>Reports, questions, answer labels and generator</w:t>
            </w:r>
          </w:p>
        </w:tc>
        <w:tc>
          <w:tcPr>
            <w:tcW w:type="dxa" w:w="3360"/>
            <w:vAlign w:val="center"/>
            <w:tcMar>
              <w:top w:w="80" w:type="dxa"/>
              <w:start w:w="120" w:type="dxa"/>
              <w:bottom w:w="80" w:type="dxa"/>
              <w:end w:w="120" w:type="dxa"/>
            </w:tcMar>
          </w:tcPr>
          <w:p>
            <w:pPr>
              <w:spacing w:after="20" w:line="252" w:lineRule="auto"/>
            </w:pPr>
            <w:r/>
            <w:r>
              <w:rPr>
                <w:rFonts w:ascii="Arial" w:hAnsi="Arial"/>
                <w:b w:val="0"/>
                <w:i w:val="0"/>
                <w:color w:val="000000"/>
                <w:sz w:val="18"/>
              </w:rPr>
              <w:t>Chunk boundaries and window parameters</w:t>
            </w:r>
          </w:p>
        </w:tc>
      </w:tr>
    </w:tbl>
    <w:p>
      <w:pPr>
        <w:spacing w:after="20"/>
      </w:pPr>
    </w:p>
    <w:p>
      <w:pPr>
        <w:pStyle w:val="Heading1"/>
      </w:pPr>
      <w:r>
        <w:t>Methodological judgement</w:t>
      </w:r>
    </w:p>
    <w:p>
      <w:pPr>
        <w:spacing w:after="120" w:line="276" w:lineRule="auto"/>
      </w:pPr>
      <w:r>
        <w:rPr>
          <w:rFonts w:ascii="Arial" w:hAnsi="Arial"/>
          <w:b w:val="0"/>
          <w:i w:val="0"/>
          <w:color w:val="000000"/>
          <w:sz w:val="21"/>
        </w:rPr>
        <w:t>This protocol is stronger than an illustrative chatbot demo because every comparison declares what was held constant and records a run-specific configuration and log. It permits a reviewer to distinguish a model change from a retrieval, prompt or data change. [E10]</w:t>
      </w:r>
    </w:p>
    <w:p>
      <w:pPr>
        <w:spacing w:after="120" w:line="276" w:lineRule="auto"/>
      </w:pPr>
      <w:r>
        <w:rPr>
          <w:rFonts w:ascii="Arial" w:hAnsi="Arial"/>
          <w:b w:val="0"/>
          <w:i w:val="0"/>
          <w:color w:val="000000"/>
          <w:sz w:val="21"/>
        </w:rPr>
        <w:t>The protocol still has a hard validity boundary: both the questions and gold labels are source-derived from two supplied reports. The evidence can support component selection for this POC; it cannot support claims about real-world accuracy, missing-evidence safety or generalisation across audit agencies. [E5][E10]</w:t>
      </w:r>
    </w:p>
    <w:p>
      <w:pPr>
        <w:pStyle w:val="Heading1"/>
      </w:pPr>
      <w:r>
        <w:t>Label provenance and split policy</w:t>
      </w:r>
    </w:p>
    <w:p>
      <w:pPr>
        <w:spacing w:after="120" w:line="276" w:lineRule="auto"/>
      </w:pPr>
      <w:r>
        <w:rPr>
          <w:rFonts w:ascii="Arial" w:hAnsi="Arial"/>
          <w:b w:val="0"/>
          <w:i w:val="0"/>
          <w:color w:val="000000"/>
          <w:sz w:val="21"/>
        </w:rPr>
        <w:t>The current 16 records use the same eight benchmark-question templates across both supplied reports. This is useful for checking whether the integrated pipeline can apply a stable assessment rubric to more than one input, and the stored report/question IDs make every aggregate count reproducible. [E4][E6]</w:t>
      </w:r>
    </w:p>
    <w:p>
      <w:pPr>
        <w:spacing w:after="120" w:line="276" w:lineRule="auto"/>
      </w:pPr>
      <w:r>
        <w:rPr>
          <w:rFonts w:ascii="Arial" w:hAnsi="Arial"/>
          <w:b w:val="0"/>
          <w:i w:val="0"/>
          <w:color w:val="000000"/>
          <w:sz w:val="21"/>
        </w:rPr>
        <w:t>It is not a train/test split. The questions and labels were authored from the supplied reports, so there is a risk that the benchmark reflects obvious report wording rather than the more difficult expert judgement required in deployment. This is why the package labels the work an evaluated POC instead of a validated decision system. [E10]</w:t>
      </w:r>
    </w:p>
    <w:p>
      <w:pPr>
        <w:spacing w:after="120" w:line="276" w:lineRule="auto"/>
      </w:pPr>
      <w:r>
        <w:rPr>
          <w:rFonts w:ascii="Arial" w:hAnsi="Arial"/>
          <w:b w:val="0"/>
          <w:i w:val="0"/>
          <w:color w:val="000000"/>
          <w:sz w:val="21"/>
        </w:rPr>
        <w:t>The next dataset must be frozen before model comparison: separate reports by source at report level, have domain reviewers label the verdict and acceptable evidence spans, and reserve missing-evidence/contradiction cases. This prevents accidental leakage and permits credible per-class error reporting. [E8]</w:t>
      </w:r>
    </w:p>
    <w:p>
      <w:pPr>
        <w:pStyle w:val="Heading1"/>
      </w:pPr>
      <w:r>
        <w:t>Repository evidence cited</w:t>
      </w:r>
    </w:p>
    <w:p>
      <w:pPr>
        <w:pStyle w:val="ListBullet"/>
        <w:spacing w:after="60" w:line="264" w:lineRule="auto"/>
      </w:pPr>
      <w:r>
        <w:rPr>
          <w:rFonts w:ascii="Arial" w:hAnsi="Arial"/>
          <w:b w:val="0"/>
          <w:i w:val="0"/>
          <w:color w:val="000000"/>
          <w:sz w:val="20"/>
        </w:rPr>
        <w:t>[E4] results/production_real_reports/1787846335_de0ded86a7db/run_config.json and run.log: two-report production-parser run configuration and execution log.</w:t>
      </w:r>
    </w:p>
    <w:p>
      <w:pPr>
        <w:pStyle w:val="ListBullet"/>
        <w:spacing w:after="60" w:line="264" w:lineRule="auto"/>
      </w:pPr>
      <w:r>
        <w:rPr>
          <w:rFonts w:ascii="Arial" w:hAnsi="Arial"/>
          <w:b w:val="0"/>
          <w:i w:val="0"/>
          <w:color w:val="000000"/>
          <w:sz w:val="20"/>
        </w:rPr>
        <w:t>[E5] results/production_real_reports/1787846335_de0ded86a7db/{retrieval_metrics,question_level_llm_metrics,sota_faithfulness_metrics,audit_level_scores}.json: scored metrics and audit decisions.</w:t>
      </w:r>
    </w:p>
    <w:p>
      <w:pPr>
        <w:pStyle w:val="ListBullet"/>
        <w:spacing w:after="60" w:line="264" w:lineRule="auto"/>
      </w:pPr>
      <w:r>
        <w:rPr>
          <w:rFonts w:ascii="Arial" w:hAnsi="Arial"/>
          <w:b w:val="0"/>
          <w:i w:val="0"/>
          <w:color w:val="000000"/>
          <w:sz w:val="20"/>
        </w:rPr>
        <w:t>[E6] sample_data/{2-report.json,4-report.json,real_reports_benchmark_questions.json}: source reports and eight source-derived questions per report.</w:t>
      </w:r>
    </w:p>
    <w:p>
      <w:pPr>
        <w:pStyle w:val="ListBullet"/>
        <w:spacing w:after="60" w:line="264" w:lineRule="auto"/>
      </w:pPr>
      <w:r>
        <w:rPr>
          <w:rFonts w:ascii="Arial" w:hAnsi="Arial"/>
          <w:b w:val="0"/>
          <w:i w:val="0"/>
          <w:color w:val="000000"/>
          <w:sz w:val="20"/>
        </w:rPr>
        <w:t>[E10] results/final_validation/VALIDATION_SUMMARY.md and its cited run directories: controlled local LLM, ICL, prompt, retrieval, CRAG, chunking and chunk-parameter comparisons completed 28 August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000000"/>
        <w:sz w:val="17"/>
      </w:rPr>
      <w:t>D08 Evaluation Dataset and Methodology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i w:val="0"/>
        <w:color w:val="000000"/>
        <w:sz w:val="17"/>
      </w:rPr>
      <w:t>Objective 3 | AI-Based Cyber Security Audit Assessment Against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64"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line="264"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