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i w:val="0"/>
          <w:color w:val="000000"/>
          <w:sz w:val="44"/>
        </w:rPr>
        <w:t>D9. Automated Evaluation Harness</w:t>
      </w:r>
    </w:p>
    <w:p>
      <w:pPr>
        <w:spacing w:after="280"/>
      </w:pPr>
      <w:r>
        <w:rPr>
          <w:rFonts w:ascii="Arial" w:hAnsi="Arial"/>
          <w:b w:val="0"/>
          <w:i/>
          <w:color w:val="000000"/>
          <w:sz w:val="22"/>
        </w:rPr>
        <w:t>Reproducible question-level and audit-level evaluation capability.</w:t>
      </w:r>
    </w:p>
    <w:tbl>
      <w:tblPr>
        <w:tblStyle w:val="TableGrid"/>
        <w:tblW w:type="dxa" w:w="9360"/>
        <w:tblLayout w:type="fixed"/>
        <w:tblLook w:firstColumn="1" w:firstRow="1" w:lastColumn="0" w:lastRow="0" w:noHBand="0" w:noVBand="1" w:val="04A0"/>
        <w:tblInd w:w="120" w:type="dxa"/>
      </w:tblPr>
      <w:tblGrid>
        <w:gridCol w:w="1850"/>
        <w:gridCol w:w="7510"/>
      </w:tblGrid>
      <w:tr>
        <w:tc>
          <w:tcPr>
            <w:tcW w:type="dxa" w:w="1850"/>
            <w:vAlign w:val="center"/>
            <w:tcMar>
              <w:top w:w="80" w:type="dxa"/>
              <w:start w:w="120" w:type="dxa"/>
              <w:bottom w:w="80" w:type="dxa"/>
              <w:end w:w="120" w:type="dxa"/>
            </w:tcMar>
          </w:tcPr>
          <w:p>
            <w:pPr>
              <w:spacing w:after="20"/>
            </w:pPr>
            <w:r/>
            <w:r>
              <w:rPr>
                <w:rFonts w:ascii="Arial" w:hAnsi="Arial"/>
                <w:b/>
                <w:i w:val="0"/>
                <w:color w:val="000000"/>
                <w:sz w:val="18"/>
              </w:rPr>
              <w:t>Field</w:t>
            </w:r>
          </w:p>
        </w:tc>
        <w:tc>
          <w:tcPr>
            <w:tcW w:type="dxa" w:w="7510"/>
            <w:vAlign w:val="center"/>
            <w:tcMar>
              <w:top w:w="80" w:type="dxa"/>
              <w:start w:w="120" w:type="dxa"/>
              <w:bottom w:w="80" w:type="dxa"/>
              <w:end w:w="120" w:type="dxa"/>
            </w:tcMar>
          </w:tcPr>
          <w:p>
            <w:pPr>
              <w:spacing w:after="20"/>
            </w:pPr>
            <w:r/>
            <w:r>
              <w:rPr>
                <w:rFonts w:ascii="Arial" w:hAnsi="Arial"/>
                <w:b/>
                <w:i w:val="0"/>
                <w:color w:val="000000"/>
                <w:sz w:val="18"/>
              </w:rPr>
              <w:t>Value</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Project</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Development of AI-Based Cyber Security Audit Assessment Against Benchmark</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Scope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Objective 3; secure local/air-gapped RAG proof of concept</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Report date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28 August 2026</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Evidence rule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Implemented, tested and untested claims are labelled separately.</w:t>
            </w:r>
          </w:p>
        </w:tc>
      </w:tr>
    </w:tbl>
    <w:p>
      <w:pPr>
        <w:spacing w:after="20"/>
      </w:pPr>
    </w:p>
    <w:p>
      <w:pPr>
        <w:pStyle w:val="Heading1"/>
      </w:pPr>
      <w:r>
        <w:t>Reproducibility contract</w:t>
      </w:r>
    </w:p>
    <w:tbl>
      <w:tblPr>
        <w:tblStyle w:val="TableGrid"/>
        <w:tblW w:type="dxa" w:w="9360"/>
        <w:tblLayout w:type="fixed"/>
        <w:tblLook w:firstColumn="1" w:firstRow="1" w:lastColumn="0" w:lastRow="0" w:noHBand="0" w:noVBand="1" w:val="04A0"/>
        <w:tblInd w:w="120" w:type="dxa"/>
      </w:tblPr>
      <w:tblGrid>
        <w:gridCol w:w="1900"/>
        <w:gridCol w:w="3900"/>
        <w:gridCol w:w="3560"/>
      </w:tblGrid>
      <w:tr>
        <w:tc>
          <w:tcPr>
            <w:tcW w:type="dxa" w:w="1900"/>
            <w:vAlign w:val="center"/>
            <w:tcMar>
              <w:top w:w="80" w:type="dxa"/>
              <w:start w:w="120" w:type="dxa"/>
              <w:bottom w:w="80" w:type="dxa"/>
              <w:end w:w="120" w:type="dxa"/>
            </w:tcMar>
          </w:tcPr>
          <w:p>
            <w:pPr>
              <w:spacing w:after="20"/>
            </w:pPr>
            <w:r/>
            <w:r>
              <w:rPr>
                <w:rFonts w:ascii="Arial" w:hAnsi="Arial"/>
                <w:b/>
                <w:i w:val="0"/>
                <w:color w:val="000000"/>
                <w:sz w:val="18"/>
              </w:rPr>
              <w:t>Record</w:t>
            </w:r>
          </w:p>
        </w:tc>
        <w:tc>
          <w:tcPr>
            <w:tcW w:type="dxa" w:w="3900"/>
            <w:vAlign w:val="center"/>
            <w:tcMar>
              <w:top w:w="80" w:type="dxa"/>
              <w:start w:w="120" w:type="dxa"/>
              <w:bottom w:w="80" w:type="dxa"/>
              <w:end w:w="120" w:type="dxa"/>
            </w:tcMar>
          </w:tcPr>
          <w:p>
            <w:pPr>
              <w:spacing w:after="20"/>
            </w:pPr>
            <w:r/>
            <w:r>
              <w:rPr>
                <w:rFonts w:ascii="Arial" w:hAnsi="Arial"/>
                <w:b/>
                <w:i w:val="0"/>
                <w:color w:val="000000"/>
                <w:sz w:val="18"/>
              </w:rPr>
              <w:t>Captured by harness</w:t>
            </w:r>
          </w:p>
        </w:tc>
        <w:tc>
          <w:tcPr>
            <w:tcW w:type="dxa" w:w="3560"/>
            <w:vAlign w:val="center"/>
            <w:tcMar>
              <w:top w:w="80" w:type="dxa"/>
              <w:start w:w="120" w:type="dxa"/>
              <w:bottom w:w="80" w:type="dxa"/>
              <w:end w:w="120" w:type="dxa"/>
            </w:tcMar>
          </w:tcPr>
          <w:p>
            <w:pPr>
              <w:spacing w:after="20"/>
            </w:pPr>
            <w:r/>
            <w:r>
              <w:rPr>
                <w:rFonts w:ascii="Arial" w:hAnsi="Arial"/>
                <w:b/>
                <w:i w:val="0"/>
                <w:color w:val="000000"/>
                <w:sz w:val="18"/>
              </w:rPr>
              <w:t>Why a reviewer needs it</w:t>
            </w:r>
          </w:p>
        </w:tc>
      </w:tr>
      <w:tr>
        <w:tc>
          <w:tcPr>
            <w:tcW w:type="dxa" w:w="1900"/>
            <w:vAlign w:val="center"/>
            <w:tcMar>
              <w:top w:w="80" w:type="dxa"/>
              <w:start w:w="120" w:type="dxa"/>
              <w:bottom w:w="80" w:type="dxa"/>
              <w:end w:w="120" w:type="dxa"/>
            </w:tcMar>
          </w:tcPr>
          <w:p>
            <w:pPr>
              <w:spacing w:after="20" w:line="252" w:lineRule="auto"/>
            </w:pPr>
            <w:r/>
            <w:r>
              <w:rPr>
                <w:rFonts w:ascii="Arial" w:hAnsi="Arial"/>
                <w:b w:val="0"/>
                <w:i w:val="0"/>
                <w:color w:val="000000"/>
                <w:sz w:val="18"/>
              </w:rPr>
              <w:t>Input identity</w:t>
            </w:r>
          </w:p>
        </w:tc>
        <w:tc>
          <w:tcPr>
            <w:tcW w:type="dxa" w:w="3900"/>
            <w:vAlign w:val="center"/>
            <w:tcMar>
              <w:top w:w="80" w:type="dxa"/>
              <w:start w:w="120" w:type="dxa"/>
              <w:bottom w:w="80" w:type="dxa"/>
              <w:end w:w="120" w:type="dxa"/>
            </w:tcMar>
          </w:tcPr>
          <w:p>
            <w:pPr>
              <w:spacing w:after="20" w:line="252" w:lineRule="auto"/>
            </w:pPr>
            <w:r/>
            <w:r>
              <w:rPr>
                <w:rFonts w:ascii="Arial" w:hAnsi="Arial"/>
                <w:b w:val="0"/>
                <w:i w:val="0"/>
                <w:color w:val="000000"/>
                <w:sz w:val="18"/>
              </w:rPr>
              <w:t>Report ID, source hash and question ID</w:t>
            </w:r>
          </w:p>
        </w:tc>
        <w:tc>
          <w:tcPr>
            <w:tcW w:type="dxa" w:w="3560"/>
            <w:vAlign w:val="center"/>
            <w:tcMar>
              <w:top w:w="80" w:type="dxa"/>
              <w:start w:w="120" w:type="dxa"/>
              <w:bottom w:w="80" w:type="dxa"/>
              <w:end w:w="120" w:type="dxa"/>
            </w:tcMar>
          </w:tcPr>
          <w:p>
            <w:pPr>
              <w:spacing w:after="20" w:line="252" w:lineRule="auto"/>
            </w:pPr>
            <w:r/>
            <w:r>
              <w:rPr>
                <w:rFonts w:ascii="Arial" w:hAnsi="Arial"/>
                <w:b w:val="0"/>
                <w:i w:val="0"/>
                <w:color w:val="000000"/>
                <w:sz w:val="18"/>
              </w:rPr>
              <w:t>Connects a score to immutable inputs</w:t>
            </w:r>
          </w:p>
        </w:tc>
      </w:tr>
      <w:tr>
        <w:tc>
          <w:tcPr>
            <w:tcW w:type="dxa" w:w="1900"/>
            <w:vAlign w:val="center"/>
            <w:tcMar>
              <w:top w:w="80" w:type="dxa"/>
              <w:start w:w="120" w:type="dxa"/>
              <w:bottom w:w="80" w:type="dxa"/>
              <w:end w:w="120" w:type="dxa"/>
            </w:tcMar>
          </w:tcPr>
          <w:p>
            <w:pPr>
              <w:spacing w:after="20" w:line="252" w:lineRule="auto"/>
            </w:pPr>
            <w:r/>
            <w:r>
              <w:rPr>
                <w:rFonts w:ascii="Arial" w:hAnsi="Arial"/>
                <w:b w:val="0"/>
                <w:i w:val="0"/>
                <w:color w:val="000000"/>
                <w:sz w:val="18"/>
              </w:rPr>
              <w:t>Retrieval trace</w:t>
            </w:r>
          </w:p>
        </w:tc>
        <w:tc>
          <w:tcPr>
            <w:tcW w:type="dxa" w:w="3900"/>
            <w:vAlign w:val="center"/>
            <w:tcMar>
              <w:top w:w="80" w:type="dxa"/>
              <w:start w:w="120" w:type="dxa"/>
              <w:bottom w:w="80" w:type="dxa"/>
              <w:end w:w="120" w:type="dxa"/>
            </w:tcMar>
          </w:tcPr>
          <w:p>
            <w:pPr>
              <w:spacing w:after="20" w:line="252" w:lineRule="auto"/>
            </w:pPr>
            <w:r/>
            <w:r>
              <w:rPr>
                <w:rFonts w:ascii="Arial" w:hAnsi="Arial"/>
                <w:b w:val="0"/>
                <w:i w:val="0"/>
                <w:color w:val="000000"/>
                <w:sz w:val="18"/>
              </w:rPr>
              <w:t>Chunk IDs, scores and CRAG state</w:t>
            </w:r>
          </w:p>
        </w:tc>
        <w:tc>
          <w:tcPr>
            <w:tcW w:type="dxa" w:w="3560"/>
            <w:vAlign w:val="center"/>
            <w:tcMar>
              <w:top w:w="80" w:type="dxa"/>
              <w:start w:w="120" w:type="dxa"/>
              <w:bottom w:w="80" w:type="dxa"/>
              <w:end w:w="120" w:type="dxa"/>
            </w:tcMar>
          </w:tcPr>
          <w:p>
            <w:pPr>
              <w:spacing w:after="20" w:line="252" w:lineRule="auto"/>
            </w:pPr>
            <w:r/>
            <w:r>
              <w:rPr>
                <w:rFonts w:ascii="Arial" w:hAnsi="Arial"/>
                <w:b w:val="0"/>
                <w:i w:val="0"/>
                <w:color w:val="000000"/>
                <w:sz w:val="18"/>
              </w:rPr>
              <w:t>Explains what evidence reached the model</w:t>
            </w:r>
          </w:p>
        </w:tc>
      </w:tr>
      <w:tr>
        <w:tc>
          <w:tcPr>
            <w:tcW w:type="dxa" w:w="1900"/>
            <w:vAlign w:val="center"/>
            <w:tcMar>
              <w:top w:w="80" w:type="dxa"/>
              <w:start w:w="120" w:type="dxa"/>
              <w:bottom w:w="80" w:type="dxa"/>
              <w:end w:w="120" w:type="dxa"/>
            </w:tcMar>
          </w:tcPr>
          <w:p>
            <w:pPr>
              <w:spacing w:after="20" w:line="252" w:lineRule="auto"/>
            </w:pPr>
            <w:r/>
            <w:r>
              <w:rPr>
                <w:rFonts w:ascii="Arial" w:hAnsi="Arial"/>
                <w:b w:val="0"/>
                <w:i w:val="0"/>
                <w:color w:val="000000"/>
                <w:sz w:val="18"/>
              </w:rPr>
              <w:t>Generation trace</w:t>
            </w:r>
          </w:p>
        </w:tc>
        <w:tc>
          <w:tcPr>
            <w:tcW w:type="dxa" w:w="3900"/>
            <w:vAlign w:val="center"/>
            <w:tcMar>
              <w:top w:w="80" w:type="dxa"/>
              <w:start w:w="120" w:type="dxa"/>
              <w:bottom w:w="80" w:type="dxa"/>
              <w:end w:w="120" w:type="dxa"/>
            </w:tcMar>
          </w:tcPr>
          <w:p>
            <w:pPr>
              <w:spacing w:after="20" w:line="252" w:lineRule="auto"/>
            </w:pPr>
            <w:r/>
            <w:r>
              <w:rPr>
                <w:rFonts w:ascii="Arial" w:hAnsi="Arial"/>
                <w:b w:val="0"/>
                <w:i w:val="0"/>
                <w:color w:val="000000"/>
                <w:sz w:val="18"/>
              </w:rPr>
              <w:t>Model, prompt, seed, temperature and response</w:t>
            </w:r>
          </w:p>
        </w:tc>
        <w:tc>
          <w:tcPr>
            <w:tcW w:type="dxa" w:w="3560"/>
            <w:vAlign w:val="center"/>
            <w:tcMar>
              <w:top w:w="80" w:type="dxa"/>
              <w:start w:w="120" w:type="dxa"/>
              <w:bottom w:w="80" w:type="dxa"/>
              <w:end w:w="120" w:type="dxa"/>
            </w:tcMar>
          </w:tcPr>
          <w:p>
            <w:pPr>
              <w:spacing w:after="20" w:line="252" w:lineRule="auto"/>
            </w:pPr>
            <w:r/>
            <w:r>
              <w:rPr>
                <w:rFonts w:ascii="Arial" w:hAnsi="Arial"/>
                <w:b w:val="0"/>
                <w:i w:val="0"/>
                <w:color w:val="000000"/>
                <w:sz w:val="18"/>
              </w:rPr>
              <w:t>Supports controlled reruns</w:t>
            </w:r>
          </w:p>
        </w:tc>
      </w:tr>
      <w:tr>
        <w:tc>
          <w:tcPr>
            <w:tcW w:type="dxa" w:w="1900"/>
            <w:vAlign w:val="center"/>
            <w:tcMar>
              <w:top w:w="80" w:type="dxa"/>
              <w:start w:w="120" w:type="dxa"/>
              <w:bottom w:w="80" w:type="dxa"/>
              <w:end w:w="120" w:type="dxa"/>
            </w:tcMar>
          </w:tcPr>
          <w:p>
            <w:pPr>
              <w:spacing w:after="20" w:line="252" w:lineRule="auto"/>
            </w:pPr>
            <w:r/>
            <w:r>
              <w:rPr>
                <w:rFonts w:ascii="Arial" w:hAnsi="Arial"/>
                <w:b w:val="0"/>
                <w:i w:val="0"/>
                <w:color w:val="000000"/>
                <w:sz w:val="18"/>
              </w:rPr>
              <w:t>Scoring trace</w:t>
            </w:r>
          </w:p>
        </w:tc>
        <w:tc>
          <w:tcPr>
            <w:tcW w:type="dxa" w:w="3900"/>
            <w:vAlign w:val="center"/>
            <w:tcMar>
              <w:top w:w="80" w:type="dxa"/>
              <w:start w:w="120" w:type="dxa"/>
              <w:bottom w:w="80" w:type="dxa"/>
              <w:end w:w="120" w:type="dxa"/>
            </w:tcMar>
          </w:tcPr>
          <w:p>
            <w:pPr>
              <w:spacing w:after="20" w:line="252" w:lineRule="auto"/>
            </w:pPr>
            <w:r/>
            <w:r>
              <w:rPr>
                <w:rFonts w:ascii="Arial" w:hAnsi="Arial"/>
                <w:b w:val="0"/>
                <w:i w:val="0"/>
                <w:color w:val="000000"/>
                <w:sz w:val="18"/>
              </w:rPr>
              <w:t>Gold answer, correctness, grounding and audit roll-up</w:t>
            </w:r>
          </w:p>
        </w:tc>
        <w:tc>
          <w:tcPr>
            <w:tcW w:type="dxa" w:w="3560"/>
            <w:vAlign w:val="center"/>
            <w:tcMar>
              <w:top w:w="80" w:type="dxa"/>
              <w:start w:w="120" w:type="dxa"/>
              <w:bottom w:w="80" w:type="dxa"/>
              <w:end w:w="120" w:type="dxa"/>
            </w:tcMar>
          </w:tcPr>
          <w:p>
            <w:pPr>
              <w:spacing w:after="20" w:line="252" w:lineRule="auto"/>
            </w:pPr>
            <w:r/>
            <w:r>
              <w:rPr>
                <w:rFonts w:ascii="Arial" w:hAnsi="Arial"/>
                <w:b w:val="0"/>
                <w:i w:val="0"/>
                <w:color w:val="000000"/>
                <w:sz w:val="18"/>
              </w:rPr>
              <w:t>Separates local error from final decision</w:t>
            </w:r>
          </w:p>
        </w:tc>
      </w:tr>
      <w:tr>
        <w:tc>
          <w:tcPr>
            <w:tcW w:type="dxa" w:w="1900"/>
            <w:vAlign w:val="center"/>
            <w:tcMar>
              <w:top w:w="80" w:type="dxa"/>
              <w:start w:w="120" w:type="dxa"/>
              <w:bottom w:w="80" w:type="dxa"/>
              <w:end w:w="120" w:type="dxa"/>
            </w:tcMar>
          </w:tcPr>
          <w:p>
            <w:pPr>
              <w:spacing w:after="20" w:line="252" w:lineRule="auto"/>
            </w:pPr>
            <w:r/>
            <w:r>
              <w:rPr>
                <w:rFonts w:ascii="Arial" w:hAnsi="Arial"/>
                <w:b w:val="0"/>
                <w:i w:val="0"/>
                <w:color w:val="000000"/>
                <w:sz w:val="18"/>
              </w:rPr>
              <w:t>Release gate</w:t>
            </w:r>
          </w:p>
        </w:tc>
        <w:tc>
          <w:tcPr>
            <w:tcW w:type="dxa" w:w="3900"/>
            <w:vAlign w:val="center"/>
            <w:tcMar>
              <w:top w:w="80" w:type="dxa"/>
              <w:start w:w="120" w:type="dxa"/>
              <w:bottom w:w="80" w:type="dxa"/>
              <w:end w:w="120" w:type="dxa"/>
            </w:tcMar>
          </w:tcPr>
          <w:p>
            <w:pPr>
              <w:spacing w:after="20" w:line="252" w:lineRule="auto"/>
            </w:pPr>
            <w:r/>
            <w:r>
              <w:rPr>
                <w:rFonts w:ascii="Arial" w:hAnsi="Arial"/>
                <w:b w:val="0"/>
                <w:i w:val="0"/>
                <w:color w:val="000000"/>
                <w:sz w:val="18"/>
              </w:rPr>
              <w:t>Report/label/quality thresholds</w:t>
            </w:r>
          </w:p>
        </w:tc>
        <w:tc>
          <w:tcPr>
            <w:tcW w:type="dxa" w:w="3560"/>
            <w:vAlign w:val="center"/>
            <w:tcMar>
              <w:top w:w="80" w:type="dxa"/>
              <w:start w:w="120" w:type="dxa"/>
              <w:bottom w:w="80" w:type="dxa"/>
              <w:end w:w="120" w:type="dxa"/>
            </w:tcMar>
          </w:tcPr>
          <w:p>
            <w:pPr>
              <w:spacing w:after="20" w:line="252" w:lineRule="auto"/>
            </w:pPr>
            <w:r/>
            <w:r>
              <w:rPr>
                <w:rFonts w:ascii="Arial" w:hAnsi="Arial"/>
                <w:b w:val="0"/>
                <w:i w:val="0"/>
                <w:color w:val="000000"/>
                <w:sz w:val="18"/>
              </w:rPr>
              <w:t>Blocks overclaiming from small evidence</w:t>
            </w:r>
          </w:p>
        </w:tc>
      </w:tr>
    </w:tbl>
    <w:p>
      <w:pPr>
        <w:spacing w:after="20"/>
      </w:pPr>
    </w:p>
    <w:p>
      <w:pPr>
        <w:pStyle w:val="Heading1"/>
      </w:pPr>
      <w:r>
        <w:t>Harness behaviour demonstrated</w:t>
      </w:r>
    </w:p>
    <w:p>
      <w:pPr>
        <w:spacing w:after="120" w:line="276" w:lineRule="auto"/>
      </w:pPr>
      <w:r>
        <w:rPr>
          <w:rFonts w:ascii="Arial" w:hAnsi="Arial"/>
          <w:b w:val="0"/>
          <w:i w:val="0"/>
          <w:color w:val="000000"/>
          <w:sz w:val="21"/>
        </w:rPr>
        <w:t>The completed runs produce JSON and CSV question-level records, retrieval and classification metric files, faithfulness measures, audit scores, logs and exact configurations. This directly meets the requirement to trace every final audit score to its benchmark questions and evidence. [E4][E5][E10]</w:t>
      </w:r>
    </w:p>
    <w:p>
      <w:pPr>
        <w:spacing w:after="120" w:line="276" w:lineRule="auto"/>
      </w:pPr>
      <w:r>
        <w:rPr>
          <w:rFonts w:ascii="Arial" w:hAnsi="Arial"/>
          <w:b w:val="0"/>
          <w:i w:val="0"/>
          <w:color w:val="000000"/>
          <w:sz w:val="21"/>
        </w:rPr>
        <w:t>The production-readiness gate is deliberately stricter than the POC scorer. A report may score PASS against the selected benchmark while the evidence package is still BLOCKED from a production claim because the evaluation corpus is insufficient. [E5][E10]</w:t>
      </w:r>
    </w:p>
    <w:p>
      <w:pPr>
        <w:pStyle w:val="Heading1"/>
      </w:pPr>
      <w:r>
        <w:t>Harness outputs</w:t>
      </w:r>
    </w:p>
    <w:tbl>
      <w:tblPr>
        <w:tblStyle w:val="TableGrid"/>
        <w:tblW w:type="dxa" w:w="9360"/>
        <w:tblLayout w:type="fixed"/>
        <w:tblLook w:firstColumn="1" w:firstRow="1" w:lastColumn="0" w:lastRow="0" w:noHBand="0" w:noVBand="1" w:val="04A0"/>
        <w:tblInd w:w="120" w:type="dxa"/>
      </w:tblPr>
      <w:tblGrid>
        <w:gridCol w:w="2460"/>
        <w:gridCol w:w="3700"/>
        <w:gridCol w:w="3200"/>
      </w:tblGrid>
      <w:tr>
        <w:tc>
          <w:tcPr>
            <w:tcW w:type="dxa" w:w="2460"/>
            <w:vAlign w:val="center"/>
            <w:tcMar>
              <w:top w:w="80" w:type="dxa"/>
              <w:start w:w="120" w:type="dxa"/>
              <w:bottom w:w="80" w:type="dxa"/>
              <w:end w:w="120" w:type="dxa"/>
            </w:tcMar>
          </w:tcPr>
          <w:p>
            <w:pPr>
              <w:spacing w:after="20"/>
            </w:pPr>
            <w:r/>
            <w:r>
              <w:rPr>
                <w:rFonts w:ascii="Arial" w:hAnsi="Arial"/>
                <w:b/>
                <w:i w:val="0"/>
                <w:color w:val="000000"/>
                <w:sz w:val="18"/>
              </w:rPr>
              <w:t>Artifact</w:t>
            </w:r>
          </w:p>
        </w:tc>
        <w:tc>
          <w:tcPr>
            <w:tcW w:type="dxa" w:w="3700"/>
            <w:vAlign w:val="center"/>
            <w:tcMar>
              <w:top w:w="80" w:type="dxa"/>
              <w:start w:w="120" w:type="dxa"/>
              <w:bottom w:w="80" w:type="dxa"/>
              <w:end w:w="120" w:type="dxa"/>
            </w:tcMar>
          </w:tcPr>
          <w:p>
            <w:pPr>
              <w:spacing w:after="20"/>
            </w:pPr>
            <w:r/>
            <w:r>
              <w:rPr>
                <w:rFonts w:ascii="Arial" w:hAnsi="Arial"/>
                <w:b/>
                <w:i w:val="0"/>
                <w:color w:val="000000"/>
                <w:sz w:val="18"/>
              </w:rPr>
              <w:t>Contents</w:t>
            </w:r>
          </w:p>
        </w:tc>
        <w:tc>
          <w:tcPr>
            <w:tcW w:type="dxa" w:w="3200"/>
            <w:vAlign w:val="center"/>
            <w:tcMar>
              <w:top w:w="80" w:type="dxa"/>
              <w:start w:w="120" w:type="dxa"/>
              <w:bottom w:w="80" w:type="dxa"/>
              <w:end w:w="120" w:type="dxa"/>
            </w:tcMar>
          </w:tcPr>
          <w:p>
            <w:pPr>
              <w:spacing w:after="20"/>
            </w:pPr>
            <w:r/>
            <w:r>
              <w:rPr>
                <w:rFonts w:ascii="Arial" w:hAnsi="Arial"/>
                <w:b/>
                <w:i w:val="0"/>
                <w:color w:val="000000"/>
                <w:sz w:val="18"/>
              </w:rPr>
              <w:t>Traceability value</w:t>
            </w:r>
          </w:p>
        </w:tc>
      </w:tr>
      <w:tr>
        <w:tc>
          <w:tcPr>
            <w:tcW w:type="dxa" w:w="2460"/>
            <w:vAlign w:val="center"/>
            <w:tcMar>
              <w:top w:w="80" w:type="dxa"/>
              <w:start w:w="120" w:type="dxa"/>
              <w:bottom w:w="80" w:type="dxa"/>
              <w:end w:w="120" w:type="dxa"/>
            </w:tcMar>
          </w:tcPr>
          <w:p>
            <w:pPr>
              <w:spacing w:after="20" w:line="252" w:lineRule="auto"/>
            </w:pPr>
            <w:r/>
            <w:r>
              <w:rPr>
                <w:rFonts w:ascii="Arial" w:hAnsi="Arial"/>
                <w:b w:val="0"/>
                <w:i w:val="0"/>
                <w:color w:val="000000"/>
                <w:sz w:val="18"/>
              </w:rPr>
              <w:t>question_level_results.json / .csv</w:t>
            </w:r>
          </w:p>
        </w:tc>
        <w:tc>
          <w:tcPr>
            <w:tcW w:type="dxa" w:w="3700"/>
            <w:vAlign w:val="center"/>
            <w:tcMar>
              <w:top w:w="80" w:type="dxa"/>
              <w:start w:w="120" w:type="dxa"/>
              <w:bottom w:w="80" w:type="dxa"/>
              <w:end w:w="120" w:type="dxa"/>
            </w:tcMar>
          </w:tcPr>
          <w:p>
            <w:pPr>
              <w:spacing w:after="20" w:line="252" w:lineRule="auto"/>
            </w:pPr>
            <w:r/>
            <w:r>
              <w:rPr>
                <w:rFonts w:ascii="Arial" w:hAnsi="Arial"/>
                <w:b w:val="0"/>
                <w:i w:val="0"/>
                <w:color w:val="000000"/>
                <w:sz w:val="18"/>
              </w:rPr>
              <w:t>Answer, retrieved evidence, scores, CRAG, latency, flags</w:t>
            </w:r>
          </w:p>
        </w:tc>
        <w:tc>
          <w:tcPr>
            <w:tcW w:type="dxa" w:w="3200"/>
            <w:vAlign w:val="center"/>
            <w:tcMar>
              <w:top w:w="80" w:type="dxa"/>
              <w:start w:w="120" w:type="dxa"/>
              <w:bottom w:w="80" w:type="dxa"/>
              <w:end w:w="120" w:type="dxa"/>
            </w:tcMar>
          </w:tcPr>
          <w:p>
            <w:pPr>
              <w:spacing w:after="20" w:line="252" w:lineRule="auto"/>
            </w:pPr>
            <w:r/>
            <w:r>
              <w:rPr>
                <w:rFonts w:ascii="Arial" w:hAnsi="Arial"/>
                <w:b w:val="0"/>
                <w:i w:val="0"/>
                <w:color w:val="000000"/>
                <w:sz w:val="18"/>
              </w:rPr>
              <w:t>Explains each benchmark decision [E5]</w:t>
            </w:r>
          </w:p>
        </w:tc>
      </w:tr>
      <w:tr>
        <w:tc>
          <w:tcPr>
            <w:tcW w:type="dxa" w:w="2460"/>
            <w:vAlign w:val="center"/>
            <w:tcMar>
              <w:top w:w="80" w:type="dxa"/>
              <w:start w:w="120" w:type="dxa"/>
              <w:bottom w:w="80" w:type="dxa"/>
              <w:end w:w="120" w:type="dxa"/>
            </w:tcMar>
          </w:tcPr>
          <w:p>
            <w:pPr>
              <w:spacing w:after="20" w:line="252" w:lineRule="auto"/>
            </w:pPr>
            <w:r/>
            <w:r>
              <w:rPr>
                <w:rFonts w:ascii="Arial" w:hAnsi="Arial"/>
                <w:b w:val="0"/>
                <w:i w:val="0"/>
                <w:color w:val="000000"/>
                <w:sz w:val="18"/>
              </w:rPr>
              <w:t>retrieval_metrics.json</w:t>
            </w:r>
          </w:p>
        </w:tc>
        <w:tc>
          <w:tcPr>
            <w:tcW w:type="dxa" w:w="3700"/>
            <w:vAlign w:val="center"/>
            <w:tcMar>
              <w:top w:w="80" w:type="dxa"/>
              <w:start w:w="120" w:type="dxa"/>
              <w:bottom w:w="80" w:type="dxa"/>
              <w:end w:w="120" w:type="dxa"/>
            </w:tcMar>
          </w:tcPr>
          <w:p>
            <w:pPr>
              <w:spacing w:after="20" w:line="252" w:lineRule="auto"/>
            </w:pPr>
            <w:r/>
            <w:r>
              <w:rPr>
                <w:rFonts w:ascii="Arial" w:hAnsi="Arial"/>
                <w:b w:val="0"/>
                <w:i w:val="0"/>
                <w:color w:val="000000"/>
                <w:sz w:val="18"/>
              </w:rPr>
              <w:t>Per-query and aggregate ranking measures</w:t>
            </w:r>
          </w:p>
        </w:tc>
        <w:tc>
          <w:tcPr>
            <w:tcW w:type="dxa" w:w="3200"/>
            <w:vAlign w:val="center"/>
            <w:tcMar>
              <w:top w:w="80" w:type="dxa"/>
              <w:start w:w="120" w:type="dxa"/>
              <w:bottom w:w="80" w:type="dxa"/>
              <w:end w:w="120" w:type="dxa"/>
            </w:tcMar>
          </w:tcPr>
          <w:p>
            <w:pPr>
              <w:spacing w:after="20" w:line="252" w:lineRule="auto"/>
            </w:pPr>
            <w:r/>
            <w:r>
              <w:rPr>
                <w:rFonts w:ascii="Arial" w:hAnsi="Arial"/>
                <w:b w:val="0"/>
                <w:i w:val="0"/>
                <w:color w:val="000000"/>
                <w:sz w:val="18"/>
              </w:rPr>
              <w:t>Separates retrieval from LLM quality [E5]</w:t>
            </w:r>
          </w:p>
        </w:tc>
      </w:tr>
      <w:tr>
        <w:tc>
          <w:tcPr>
            <w:tcW w:type="dxa" w:w="2460"/>
            <w:vAlign w:val="center"/>
            <w:tcMar>
              <w:top w:w="80" w:type="dxa"/>
              <w:start w:w="120" w:type="dxa"/>
              <w:bottom w:w="80" w:type="dxa"/>
              <w:end w:w="120" w:type="dxa"/>
            </w:tcMar>
          </w:tcPr>
          <w:p>
            <w:pPr>
              <w:spacing w:after="20" w:line="252" w:lineRule="auto"/>
            </w:pPr>
            <w:r/>
            <w:r>
              <w:rPr>
                <w:rFonts w:ascii="Arial" w:hAnsi="Arial"/>
                <w:b w:val="0"/>
                <w:i w:val="0"/>
                <w:color w:val="000000"/>
                <w:sz w:val="18"/>
              </w:rPr>
              <w:t>question_level_llm_metrics.json</w:t>
            </w:r>
          </w:p>
        </w:tc>
        <w:tc>
          <w:tcPr>
            <w:tcW w:type="dxa" w:w="3700"/>
            <w:vAlign w:val="center"/>
            <w:tcMar>
              <w:top w:w="80" w:type="dxa"/>
              <w:start w:w="120" w:type="dxa"/>
              <w:bottom w:w="80" w:type="dxa"/>
              <w:end w:w="120" w:type="dxa"/>
            </w:tcMar>
          </w:tcPr>
          <w:p>
            <w:pPr>
              <w:spacing w:after="20" w:line="252" w:lineRule="auto"/>
            </w:pPr>
            <w:r/>
            <w:r>
              <w:rPr>
                <w:rFonts w:ascii="Arial" w:hAnsi="Arial"/>
                <w:b w:val="0"/>
                <w:i w:val="0"/>
                <w:color w:val="000000"/>
                <w:sz w:val="18"/>
              </w:rPr>
              <w:t>Accuracy, macro-F1, per-class metrics, confusion matrix</w:t>
            </w:r>
          </w:p>
        </w:tc>
        <w:tc>
          <w:tcPr>
            <w:tcW w:type="dxa" w:w="3200"/>
            <w:vAlign w:val="center"/>
            <w:tcMar>
              <w:top w:w="80" w:type="dxa"/>
              <w:start w:w="120" w:type="dxa"/>
              <w:bottom w:w="80" w:type="dxa"/>
              <w:end w:w="120" w:type="dxa"/>
            </w:tcMar>
          </w:tcPr>
          <w:p>
            <w:pPr>
              <w:spacing w:after="20" w:line="252" w:lineRule="auto"/>
            </w:pPr>
            <w:r/>
            <w:r>
              <w:rPr>
                <w:rFonts w:ascii="Arial" w:hAnsi="Arial"/>
                <w:b w:val="0"/>
                <w:i w:val="0"/>
                <w:color w:val="000000"/>
                <w:sz w:val="18"/>
              </w:rPr>
              <w:t>Shows class imbalance and errors [E5]</w:t>
            </w:r>
          </w:p>
        </w:tc>
      </w:tr>
      <w:tr>
        <w:tc>
          <w:tcPr>
            <w:tcW w:type="dxa" w:w="2460"/>
            <w:vAlign w:val="center"/>
            <w:tcMar>
              <w:top w:w="80" w:type="dxa"/>
              <w:start w:w="120" w:type="dxa"/>
              <w:bottom w:w="80" w:type="dxa"/>
              <w:end w:w="120" w:type="dxa"/>
            </w:tcMar>
          </w:tcPr>
          <w:p>
            <w:pPr>
              <w:spacing w:after="20" w:line="252" w:lineRule="auto"/>
            </w:pPr>
            <w:r/>
            <w:r>
              <w:rPr>
                <w:rFonts w:ascii="Arial" w:hAnsi="Arial"/>
                <w:b w:val="0"/>
                <w:i w:val="0"/>
                <w:color w:val="000000"/>
                <w:sz w:val="18"/>
              </w:rPr>
              <w:t>sota_faithfulness_metrics.json</w:t>
            </w:r>
          </w:p>
        </w:tc>
        <w:tc>
          <w:tcPr>
            <w:tcW w:type="dxa" w:w="3700"/>
            <w:vAlign w:val="center"/>
            <w:tcMar>
              <w:top w:w="80" w:type="dxa"/>
              <w:start w:w="120" w:type="dxa"/>
              <w:bottom w:w="80" w:type="dxa"/>
              <w:end w:w="120" w:type="dxa"/>
            </w:tcMar>
          </w:tcPr>
          <w:p>
            <w:pPr>
              <w:spacing w:after="20" w:line="252" w:lineRule="auto"/>
            </w:pPr>
            <w:r/>
            <w:r>
              <w:rPr>
                <w:rFonts w:ascii="Arial" w:hAnsi="Arial"/>
                <w:b w:val="0"/>
                <w:i w:val="0"/>
                <w:color w:val="000000"/>
                <w:sz w:val="18"/>
              </w:rPr>
              <w:t>Grounding and CRAG measures</w:t>
            </w:r>
          </w:p>
        </w:tc>
        <w:tc>
          <w:tcPr>
            <w:tcW w:type="dxa" w:w="3200"/>
            <w:vAlign w:val="center"/>
            <w:tcMar>
              <w:top w:w="80" w:type="dxa"/>
              <w:start w:w="120" w:type="dxa"/>
              <w:bottom w:w="80" w:type="dxa"/>
              <w:end w:w="120" w:type="dxa"/>
            </w:tcMar>
          </w:tcPr>
          <w:p>
            <w:pPr>
              <w:spacing w:after="20" w:line="252" w:lineRule="auto"/>
            </w:pPr>
            <w:r/>
            <w:r>
              <w:rPr>
                <w:rFonts w:ascii="Arial" w:hAnsi="Arial"/>
                <w:b w:val="0"/>
                <w:i w:val="0"/>
                <w:color w:val="000000"/>
                <w:sz w:val="18"/>
              </w:rPr>
              <w:t>Shows evidence-control behaviour [E5]</w:t>
            </w:r>
          </w:p>
        </w:tc>
      </w:tr>
      <w:tr>
        <w:tc>
          <w:tcPr>
            <w:tcW w:type="dxa" w:w="2460"/>
            <w:vAlign w:val="center"/>
            <w:tcMar>
              <w:top w:w="80" w:type="dxa"/>
              <w:start w:w="120" w:type="dxa"/>
              <w:bottom w:w="80" w:type="dxa"/>
              <w:end w:w="120" w:type="dxa"/>
            </w:tcMar>
          </w:tcPr>
          <w:p>
            <w:pPr>
              <w:spacing w:after="20" w:line="252" w:lineRule="auto"/>
            </w:pPr>
            <w:r/>
            <w:r>
              <w:rPr>
                <w:rFonts w:ascii="Arial" w:hAnsi="Arial"/>
                <w:b w:val="0"/>
                <w:i w:val="0"/>
                <w:color w:val="000000"/>
                <w:sz w:val="18"/>
              </w:rPr>
              <w:t>audit_level_scores.json</w:t>
            </w:r>
          </w:p>
        </w:tc>
        <w:tc>
          <w:tcPr>
            <w:tcW w:type="dxa" w:w="3700"/>
            <w:vAlign w:val="center"/>
            <w:tcMar>
              <w:top w:w="80" w:type="dxa"/>
              <w:start w:w="120" w:type="dxa"/>
              <w:bottom w:w="80" w:type="dxa"/>
              <w:end w:w="120" w:type="dxa"/>
            </w:tcMar>
          </w:tcPr>
          <w:p>
            <w:pPr>
              <w:spacing w:after="20" w:line="252" w:lineRule="auto"/>
            </w:pPr>
            <w:r/>
            <w:r>
              <w:rPr>
                <w:rFonts w:ascii="Arial" w:hAnsi="Arial"/>
                <w:b w:val="0"/>
                <w:i w:val="0"/>
                <w:color w:val="000000"/>
                <w:sz w:val="18"/>
              </w:rPr>
              <w:t>Positive count, percentage, PASS/FAIL</w:t>
            </w:r>
          </w:p>
        </w:tc>
        <w:tc>
          <w:tcPr>
            <w:tcW w:type="dxa" w:w="3200"/>
            <w:vAlign w:val="center"/>
            <w:tcMar>
              <w:top w:w="80" w:type="dxa"/>
              <w:start w:w="120" w:type="dxa"/>
              <w:bottom w:w="80" w:type="dxa"/>
              <w:end w:w="120" w:type="dxa"/>
            </w:tcMar>
          </w:tcPr>
          <w:p>
            <w:pPr>
              <w:spacing w:after="20" w:line="252" w:lineRule="auto"/>
            </w:pPr>
            <w:r/>
            <w:r>
              <w:rPr>
                <w:rFonts w:ascii="Arial" w:hAnsi="Arial"/>
                <w:b w:val="0"/>
                <w:i w:val="0"/>
                <w:color w:val="000000"/>
                <w:sz w:val="18"/>
              </w:rPr>
              <w:t>Traces final audit assessment [E5]</w:t>
            </w:r>
          </w:p>
        </w:tc>
      </w:tr>
      <w:tr>
        <w:tc>
          <w:tcPr>
            <w:tcW w:type="dxa" w:w="2460"/>
            <w:vAlign w:val="center"/>
            <w:tcMar>
              <w:top w:w="80" w:type="dxa"/>
              <w:start w:w="120" w:type="dxa"/>
              <w:bottom w:w="80" w:type="dxa"/>
              <w:end w:w="120" w:type="dxa"/>
            </w:tcMar>
          </w:tcPr>
          <w:p>
            <w:pPr>
              <w:spacing w:after="20" w:line="252" w:lineRule="auto"/>
            </w:pPr>
            <w:r/>
            <w:r>
              <w:rPr>
                <w:rFonts w:ascii="Arial" w:hAnsi="Arial"/>
                <w:b w:val="0"/>
                <w:i w:val="0"/>
                <w:color w:val="000000"/>
                <w:sz w:val="18"/>
              </w:rPr>
              <w:t>run_config.json and run.log</w:t>
            </w:r>
          </w:p>
        </w:tc>
        <w:tc>
          <w:tcPr>
            <w:tcW w:type="dxa" w:w="3700"/>
            <w:vAlign w:val="center"/>
            <w:tcMar>
              <w:top w:w="80" w:type="dxa"/>
              <w:start w:w="120" w:type="dxa"/>
              <w:bottom w:w="80" w:type="dxa"/>
              <w:end w:w="120" w:type="dxa"/>
            </w:tcMar>
          </w:tcPr>
          <w:p>
            <w:pPr>
              <w:spacing w:after="20" w:line="252" w:lineRule="auto"/>
            </w:pPr>
            <w:r/>
            <w:r>
              <w:rPr>
                <w:rFonts w:ascii="Arial" w:hAnsi="Arial"/>
                <w:b w:val="0"/>
                <w:i w:val="0"/>
                <w:color w:val="000000"/>
                <w:sz w:val="18"/>
              </w:rPr>
              <w:t>Exact configuration, source paths, execution log</w:t>
            </w:r>
          </w:p>
        </w:tc>
        <w:tc>
          <w:tcPr>
            <w:tcW w:type="dxa" w:w="3200"/>
            <w:vAlign w:val="center"/>
            <w:tcMar>
              <w:top w:w="80" w:type="dxa"/>
              <w:start w:w="120" w:type="dxa"/>
              <w:bottom w:w="80" w:type="dxa"/>
              <w:end w:w="120" w:type="dxa"/>
            </w:tcMar>
          </w:tcPr>
          <w:p>
            <w:pPr>
              <w:spacing w:after="20" w:line="252" w:lineRule="auto"/>
            </w:pPr>
            <w:r/>
            <w:r>
              <w:rPr>
                <w:rFonts w:ascii="Arial" w:hAnsi="Arial"/>
                <w:b w:val="0"/>
                <w:i w:val="0"/>
                <w:color w:val="000000"/>
                <w:sz w:val="18"/>
              </w:rPr>
              <w:t>Supports reproduction and audit [E4]</w:t>
            </w:r>
          </w:p>
        </w:tc>
      </w:tr>
    </w:tbl>
    <w:p>
      <w:pPr>
        <w:spacing w:after="20"/>
      </w:pPr>
    </w:p>
    <w:p>
      <w:pPr>
        <w:pStyle w:val="Heading1"/>
      </w:pPr>
      <w:r>
        <w:t>Measured harness run</w:t>
      </w:r>
    </w:p>
    <w:p>
      <w:pPr>
        <w:spacing w:after="120" w:line="276" w:lineRule="auto"/>
      </w:pPr>
      <w:r>
        <w:rPr>
          <w:rFonts w:ascii="Arial" w:hAnsi="Arial"/>
          <w:b w:val="0"/>
          <w:i w:val="0"/>
          <w:color w:val="000000"/>
          <w:sz w:val="21"/>
        </w:rPr>
        <w:t>The production-parser run completed 16 pairs across two reports. It used structure-aware chunks, hybrid retrieval, retrieval_few_shot k=4, v2_evidence_review, Qwen3-8B through Ollama, temperature 0.0 and seed 42. [E4]</w:t>
      </w:r>
    </w:p>
    <w:p>
      <w:pPr>
        <w:spacing w:after="120" w:line="276" w:lineRule="auto"/>
      </w:pPr>
      <w:r>
        <w:rPr>
          <w:rFonts w:ascii="Arial" w:hAnsi="Arial"/>
          <w:b w:val="0"/>
          <w:i w:val="0"/>
          <w:color w:val="000000"/>
          <w:sz w:val="21"/>
        </w:rPr>
        <w:t>It wrote all listed question-level, retrieval, classification, grounding and audit-level artifacts. [E4][E5]</w:t>
      </w:r>
    </w:p>
    <w:p>
      <w:pPr>
        <w:pStyle w:val="Heading1"/>
      </w:pPr>
      <w:r>
        <w:t>Release gate</w:t>
      </w:r>
    </w:p>
    <w:p>
      <w:pPr>
        <w:spacing w:after="120" w:line="276" w:lineRule="auto"/>
      </w:pPr>
      <w:r>
        <w:rPr>
          <w:rFonts w:ascii="Arial" w:hAnsi="Arial"/>
          <w:b w:val="0"/>
          <w:i w:val="0"/>
          <w:color w:val="000000"/>
          <w:sz w:val="21"/>
        </w:rPr>
        <w:t>The harness contains a production-readiness gate that fails closed unless minimum evidence requirements are satisfied, including independent balanced labels with Insufficient Evidence support and quality thresholds. The current two-report proof set is therefore not production evidence. [E8]</w:t>
      </w:r>
    </w:p>
    <w:p>
      <w:pPr>
        <w:spacing w:after="120" w:line="276" w:lineRule="auto"/>
      </w:pPr>
      <w:r>
        <w:rPr>
          <w:rFonts w:ascii="Arial" w:hAnsi="Arial"/>
          <w:b w:val="0"/>
          <w:i w:val="0"/>
          <w:color w:val="000000"/>
          <w:sz w:val="21"/>
        </w:rPr>
        <w:t>The focused safety test confirms that a one-report, one-positive-label input cannot pass that gate. [E7]</w:t>
      </w:r>
    </w:p>
    <w:p>
      <w:pPr>
        <w:pStyle w:val="Heading1"/>
      </w:pPr>
      <w:r>
        <w:t>Verification</w:t>
      </w:r>
    </w:p>
    <w:p>
      <w:pPr>
        <w:spacing w:after="120" w:line="276" w:lineRule="auto"/>
      </w:pPr>
      <w:r>
        <w:rPr>
          <w:rFonts w:ascii="Arial" w:hAnsi="Arial"/>
          <w:b w:val="0"/>
          <w:i w:val="0"/>
          <w:color w:val="000000"/>
          <w:sz w:val="21"/>
        </w:rPr>
        <w:t>The offline mock harness was rerun on 28 August 2026 and passed end to end. It is intentionally a mock-based functional check; it does not validate live-model quality. [E7]</w:t>
      </w:r>
    </w:p>
    <w:p>
      <w:pPr>
        <w:pStyle w:val="Heading1"/>
      </w:pPr>
      <w:r>
        <w:t>Conclusion</w:t>
      </w:r>
    </w:p>
    <w:p>
      <w:pPr>
        <w:spacing w:after="120" w:line="276" w:lineRule="auto"/>
      </w:pPr>
      <w:r>
        <w:rPr>
          <w:rFonts w:ascii="Arial" w:hAnsi="Arial"/>
          <w:b w:val="0"/>
          <w:i w:val="0"/>
          <w:color w:val="000000"/>
          <w:sz w:val="21"/>
        </w:rPr>
        <w:t>The harness delivers the audit trail requested by the assignment. Its limiting factor is evaluation data quality and size, not the absence of structured outputs.</w:t>
      </w:r>
    </w:p>
    <w:p>
      <w:pPr>
        <w:pStyle w:val="Heading1"/>
      </w:pPr>
      <w:r>
        <w:t>Score-to-evidence trace</w:t>
      </w:r>
    </w:p>
    <w:tbl>
      <w:tblPr>
        <w:tblStyle w:val="TableGrid"/>
        <w:tblW w:type="dxa" w:w="9710"/>
        <w:tblLayout w:type="fixed"/>
        <w:tblLook w:firstColumn="1" w:firstRow="1" w:lastColumn="0" w:lastRow="0" w:noHBand="0" w:noVBand="1" w:val="04A0"/>
        <w:tblInd w:w="120" w:type="dxa"/>
      </w:tblPr>
      <w:tblGrid>
        <w:gridCol w:w="1550"/>
        <w:gridCol w:w="4200"/>
        <w:gridCol w:w="3960"/>
      </w:tblGrid>
      <w:tr>
        <w:tc>
          <w:tcPr>
            <w:tcW w:type="dxa" w:w="1550"/>
            <w:vAlign w:val="center"/>
            <w:tcMar>
              <w:top w:w="80" w:type="dxa"/>
              <w:start w:w="120" w:type="dxa"/>
              <w:bottom w:w="80" w:type="dxa"/>
              <w:end w:w="120" w:type="dxa"/>
            </w:tcMar>
          </w:tcPr>
          <w:p>
            <w:pPr>
              <w:spacing w:after="20"/>
            </w:pPr>
            <w:r/>
            <w:r>
              <w:rPr>
                <w:rFonts w:ascii="Arial" w:hAnsi="Arial"/>
                <w:b/>
                <w:i w:val="0"/>
                <w:color w:val="000000"/>
                <w:sz w:val="18"/>
              </w:rPr>
              <w:t>Trace level</w:t>
            </w:r>
          </w:p>
        </w:tc>
        <w:tc>
          <w:tcPr>
            <w:tcW w:type="dxa" w:w="4200"/>
            <w:vAlign w:val="center"/>
            <w:tcMar>
              <w:top w:w="80" w:type="dxa"/>
              <w:start w:w="120" w:type="dxa"/>
              <w:bottom w:w="80" w:type="dxa"/>
              <w:end w:w="120" w:type="dxa"/>
            </w:tcMar>
          </w:tcPr>
          <w:p>
            <w:pPr>
              <w:spacing w:after="20"/>
            </w:pPr>
            <w:r/>
            <w:r>
              <w:rPr>
                <w:rFonts w:ascii="Arial" w:hAnsi="Arial"/>
                <w:b/>
                <w:i w:val="0"/>
                <w:color w:val="000000"/>
                <w:sz w:val="18"/>
              </w:rPr>
              <w:t>Saved record</w:t>
            </w:r>
          </w:p>
        </w:tc>
        <w:tc>
          <w:tcPr>
            <w:tcW w:type="dxa" w:w="3960"/>
            <w:vAlign w:val="center"/>
            <w:tcMar>
              <w:top w:w="80" w:type="dxa"/>
              <w:start w:w="120" w:type="dxa"/>
              <w:bottom w:w="80" w:type="dxa"/>
              <w:end w:w="120" w:type="dxa"/>
            </w:tcMar>
          </w:tcPr>
          <w:p>
            <w:pPr>
              <w:spacing w:after="20"/>
            </w:pPr>
            <w:r/>
            <w:r>
              <w:rPr>
                <w:rFonts w:ascii="Arial" w:hAnsi="Arial"/>
                <w:b/>
                <w:i w:val="0"/>
                <w:color w:val="000000"/>
                <w:sz w:val="18"/>
              </w:rPr>
              <w:t>Reviewer can answer</w:t>
            </w:r>
          </w:p>
        </w:tc>
      </w:tr>
      <w:tr>
        <w:tc>
          <w:tcPr>
            <w:tcW w:type="dxa" w:w="1550"/>
            <w:vAlign w:val="center"/>
            <w:tcMar>
              <w:top w:w="80" w:type="dxa"/>
              <w:start w:w="120" w:type="dxa"/>
              <w:bottom w:w="80" w:type="dxa"/>
              <w:end w:w="120" w:type="dxa"/>
            </w:tcMar>
          </w:tcPr>
          <w:p>
            <w:pPr>
              <w:spacing w:after="20" w:line="252" w:lineRule="auto"/>
            </w:pPr>
            <w:r/>
            <w:r>
              <w:rPr>
                <w:rFonts w:ascii="Arial" w:hAnsi="Arial"/>
                <w:b w:val="0"/>
                <w:i w:val="0"/>
                <w:color w:val="000000"/>
                <w:sz w:val="18"/>
              </w:rPr>
              <w:t>Report</w:t>
            </w:r>
          </w:p>
        </w:tc>
        <w:tc>
          <w:tcPr>
            <w:tcW w:type="dxa" w:w="4200"/>
            <w:vAlign w:val="center"/>
            <w:tcMar>
              <w:top w:w="80" w:type="dxa"/>
              <w:start w:w="120" w:type="dxa"/>
              <w:bottom w:w="80" w:type="dxa"/>
              <w:end w:w="120" w:type="dxa"/>
            </w:tcMar>
          </w:tcPr>
          <w:p>
            <w:pPr>
              <w:spacing w:after="20" w:line="252" w:lineRule="auto"/>
            </w:pPr>
            <w:r/>
            <w:r>
              <w:rPr>
                <w:rFonts w:ascii="Arial" w:hAnsi="Arial"/>
                <w:b w:val="0"/>
                <w:i w:val="0"/>
                <w:color w:val="000000"/>
                <w:sz w:val="18"/>
              </w:rPr>
              <w:t>Report ID and source hash</w:t>
            </w:r>
          </w:p>
        </w:tc>
        <w:tc>
          <w:tcPr>
            <w:tcW w:type="dxa" w:w="3960"/>
            <w:vAlign w:val="center"/>
            <w:tcMar>
              <w:top w:w="80" w:type="dxa"/>
              <w:start w:w="120" w:type="dxa"/>
              <w:bottom w:w="80" w:type="dxa"/>
              <w:end w:w="120" w:type="dxa"/>
            </w:tcMar>
          </w:tcPr>
          <w:p>
            <w:pPr>
              <w:spacing w:after="20" w:line="252" w:lineRule="auto"/>
            </w:pPr>
            <w:r/>
            <w:r>
              <w:rPr>
                <w:rFonts w:ascii="Arial" w:hAnsi="Arial"/>
                <w:b w:val="0"/>
                <w:i w:val="0"/>
                <w:color w:val="000000"/>
                <w:sz w:val="18"/>
              </w:rPr>
              <w:t>Which source document was scored?</w:t>
            </w:r>
          </w:p>
        </w:tc>
      </w:tr>
      <w:tr>
        <w:tc>
          <w:tcPr>
            <w:tcW w:type="dxa" w:w="1550"/>
            <w:vAlign w:val="center"/>
            <w:tcMar>
              <w:top w:w="80" w:type="dxa"/>
              <w:start w:w="120" w:type="dxa"/>
              <w:bottom w:w="80" w:type="dxa"/>
              <w:end w:w="120" w:type="dxa"/>
            </w:tcMar>
          </w:tcPr>
          <w:p>
            <w:pPr>
              <w:spacing w:after="20" w:line="252" w:lineRule="auto"/>
            </w:pPr>
            <w:r/>
            <w:r>
              <w:rPr>
                <w:rFonts w:ascii="Arial" w:hAnsi="Arial"/>
                <w:b w:val="0"/>
                <w:i w:val="0"/>
                <w:color w:val="000000"/>
                <w:sz w:val="18"/>
              </w:rPr>
              <w:t>Question</w:t>
            </w:r>
          </w:p>
        </w:tc>
        <w:tc>
          <w:tcPr>
            <w:tcW w:type="dxa" w:w="4200"/>
            <w:vAlign w:val="center"/>
            <w:tcMar>
              <w:top w:w="80" w:type="dxa"/>
              <w:start w:w="120" w:type="dxa"/>
              <w:bottom w:w="80" w:type="dxa"/>
              <w:end w:w="120" w:type="dxa"/>
            </w:tcMar>
          </w:tcPr>
          <w:p>
            <w:pPr>
              <w:spacing w:after="20" w:line="252" w:lineRule="auto"/>
            </w:pPr>
            <w:r/>
            <w:r>
              <w:rPr>
                <w:rFonts w:ascii="Arial" w:hAnsi="Arial"/>
                <w:b w:val="0"/>
                <w:i w:val="0"/>
                <w:color w:val="000000"/>
                <w:sz w:val="18"/>
              </w:rPr>
              <w:t>Question ID, gold answer and generated answer</w:t>
            </w:r>
          </w:p>
        </w:tc>
        <w:tc>
          <w:tcPr>
            <w:tcW w:type="dxa" w:w="3960"/>
            <w:vAlign w:val="center"/>
            <w:tcMar>
              <w:top w:w="80" w:type="dxa"/>
              <w:start w:w="120" w:type="dxa"/>
              <w:bottom w:w="80" w:type="dxa"/>
              <w:end w:w="120" w:type="dxa"/>
            </w:tcMar>
          </w:tcPr>
          <w:p>
            <w:pPr>
              <w:spacing w:after="20" w:line="252" w:lineRule="auto"/>
            </w:pPr>
            <w:r/>
            <w:r>
              <w:rPr>
                <w:rFonts w:ascii="Arial" w:hAnsi="Arial"/>
                <w:b w:val="0"/>
                <w:i w:val="0"/>
                <w:color w:val="000000"/>
                <w:sz w:val="18"/>
              </w:rPr>
              <w:t>Was this benchmark decision correct?</w:t>
            </w:r>
          </w:p>
        </w:tc>
      </w:tr>
      <w:tr>
        <w:tc>
          <w:tcPr>
            <w:tcW w:type="dxa" w:w="1550"/>
            <w:vAlign w:val="center"/>
            <w:tcMar>
              <w:top w:w="80" w:type="dxa"/>
              <w:start w:w="120" w:type="dxa"/>
              <w:bottom w:w="80" w:type="dxa"/>
              <w:end w:w="120" w:type="dxa"/>
            </w:tcMar>
          </w:tcPr>
          <w:p>
            <w:pPr>
              <w:spacing w:after="20" w:line="252" w:lineRule="auto"/>
            </w:pPr>
            <w:r/>
            <w:r>
              <w:rPr>
                <w:rFonts w:ascii="Arial" w:hAnsi="Arial"/>
                <w:b w:val="0"/>
                <w:i w:val="0"/>
                <w:color w:val="000000"/>
                <w:sz w:val="18"/>
              </w:rPr>
              <w:t>Retrieval</w:t>
            </w:r>
          </w:p>
        </w:tc>
        <w:tc>
          <w:tcPr>
            <w:tcW w:type="dxa" w:w="4200"/>
            <w:vAlign w:val="center"/>
            <w:tcMar>
              <w:top w:w="80" w:type="dxa"/>
              <w:start w:w="120" w:type="dxa"/>
              <w:bottom w:w="80" w:type="dxa"/>
              <w:end w:w="120" w:type="dxa"/>
            </w:tcMar>
          </w:tcPr>
          <w:p>
            <w:pPr>
              <w:spacing w:after="20" w:line="252" w:lineRule="auto"/>
            </w:pPr>
            <w:r/>
            <w:r>
              <w:rPr>
                <w:rFonts w:ascii="Arial" w:hAnsi="Arial"/>
                <w:b w:val="0"/>
                <w:i w:val="0"/>
                <w:color w:val="000000"/>
                <w:sz w:val="18"/>
              </w:rPr>
              <w:t>Returned IDs/scores and gold IDs</w:t>
            </w:r>
          </w:p>
        </w:tc>
        <w:tc>
          <w:tcPr>
            <w:tcW w:type="dxa" w:w="3960"/>
            <w:vAlign w:val="center"/>
            <w:tcMar>
              <w:top w:w="80" w:type="dxa"/>
              <w:start w:w="120" w:type="dxa"/>
              <w:bottom w:w="80" w:type="dxa"/>
              <w:end w:w="120" w:type="dxa"/>
            </w:tcMar>
          </w:tcPr>
          <w:p>
            <w:pPr>
              <w:spacing w:after="20" w:line="252" w:lineRule="auto"/>
            </w:pPr>
            <w:r/>
            <w:r>
              <w:rPr>
                <w:rFonts w:ascii="Arial" w:hAnsi="Arial"/>
                <w:b w:val="0"/>
                <w:i w:val="0"/>
                <w:color w:val="000000"/>
                <w:sz w:val="18"/>
              </w:rPr>
              <w:t>Was relevant evidence available to the model?</w:t>
            </w:r>
          </w:p>
        </w:tc>
      </w:tr>
      <w:tr>
        <w:tc>
          <w:tcPr>
            <w:tcW w:type="dxa" w:w="1550"/>
            <w:vAlign w:val="center"/>
            <w:tcMar>
              <w:top w:w="80" w:type="dxa"/>
              <w:start w:w="120" w:type="dxa"/>
              <w:bottom w:w="80" w:type="dxa"/>
              <w:end w:w="120" w:type="dxa"/>
            </w:tcMar>
          </w:tcPr>
          <w:p>
            <w:pPr>
              <w:spacing w:after="20" w:line="252" w:lineRule="auto"/>
            </w:pPr>
            <w:r/>
            <w:r>
              <w:rPr>
                <w:rFonts w:ascii="Arial" w:hAnsi="Arial"/>
                <w:b w:val="0"/>
                <w:i w:val="0"/>
                <w:color w:val="000000"/>
                <w:sz w:val="18"/>
              </w:rPr>
              <w:t>Generation</w:t>
            </w:r>
          </w:p>
        </w:tc>
        <w:tc>
          <w:tcPr>
            <w:tcW w:type="dxa" w:w="4200"/>
            <w:vAlign w:val="center"/>
            <w:tcMar>
              <w:top w:w="80" w:type="dxa"/>
              <w:start w:w="120" w:type="dxa"/>
              <w:bottom w:w="80" w:type="dxa"/>
              <w:end w:w="120" w:type="dxa"/>
            </w:tcMar>
          </w:tcPr>
          <w:p>
            <w:pPr>
              <w:spacing w:after="20" w:line="252" w:lineRule="auto"/>
            </w:pPr>
            <w:r/>
            <w:r>
              <w:rPr>
                <w:rFonts w:ascii="Arial" w:hAnsi="Arial"/>
                <w:b w:val="0"/>
                <w:i w:val="0"/>
                <w:color w:val="000000"/>
                <w:sz w:val="18"/>
              </w:rPr>
              <w:t>Model, prompt, seed, temperature, raw/schema output</w:t>
            </w:r>
          </w:p>
        </w:tc>
        <w:tc>
          <w:tcPr>
            <w:tcW w:type="dxa" w:w="3960"/>
            <w:vAlign w:val="center"/>
            <w:tcMar>
              <w:top w:w="80" w:type="dxa"/>
              <w:start w:w="120" w:type="dxa"/>
              <w:bottom w:w="80" w:type="dxa"/>
              <w:end w:w="120" w:type="dxa"/>
            </w:tcMar>
          </w:tcPr>
          <w:p>
            <w:pPr>
              <w:spacing w:after="20" w:line="252" w:lineRule="auto"/>
            </w:pPr>
            <w:r/>
            <w:r>
              <w:rPr>
                <w:rFonts w:ascii="Arial" w:hAnsi="Arial"/>
                <w:b w:val="0"/>
                <w:i w:val="0"/>
                <w:color w:val="000000"/>
                <w:sz w:val="18"/>
              </w:rPr>
              <w:t>Can the result be replayed?</w:t>
            </w:r>
          </w:p>
        </w:tc>
      </w:tr>
      <w:tr>
        <w:tc>
          <w:tcPr>
            <w:tcW w:type="dxa" w:w="1550"/>
            <w:vAlign w:val="center"/>
            <w:tcMar>
              <w:top w:w="80" w:type="dxa"/>
              <w:start w:w="120" w:type="dxa"/>
              <w:bottom w:w="80" w:type="dxa"/>
              <w:end w:w="120" w:type="dxa"/>
            </w:tcMar>
          </w:tcPr>
          <w:p>
            <w:pPr>
              <w:spacing w:after="20" w:line="252" w:lineRule="auto"/>
            </w:pPr>
            <w:r/>
            <w:r>
              <w:rPr>
                <w:rFonts w:ascii="Arial" w:hAnsi="Arial"/>
                <w:b w:val="0"/>
                <w:i w:val="0"/>
                <w:color w:val="000000"/>
                <w:sz w:val="18"/>
              </w:rPr>
              <w:t>Audit</w:t>
            </w:r>
          </w:p>
        </w:tc>
        <w:tc>
          <w:tcPr>
            <w:tcW w:type="dxa" w:w="4200"/>
            <w:vAlign w:val="center"/>
            <w:tcMar>
              <w:top w:w="80" w:type="dxa"/>
              <w:start w:w="120" w:type="dxa"/>
              <w:bottom w:w="80" w:type="dxa"/>
              <w:end w:w="120" w:type="dxa"/>
            </w:tcMar>
          </w:tcPr>
          <w:p>
            <w:pPr>
              <w:spacing w:after="20" w:line="252" w:lineRule="auto"/>
            </w:pPr>
            <w:r/>
            <w:r>
              <w:rPr>
                <w:rFonts w:ascii="Arial" w:hAnsi="Arial"/>
                <w:b w:val="0"/>
                <w:i w:val="0"/>
                <w:color w:val="000000"/>
                <w:sz w:val="18"/>
              </w:rPr>
              <w:t>Positive count, percentage, threshold, PASS/FAIL</w:t>
            </w:r>
          </w:p>
        </w:tc>
        <w:tc>
          <w:tcPr>
            <w:tcW w:type="dxa" w:w="3960"/>
            <w:vAlign w:val="center"/>
            <w:tcMar>
              <w:top w:w="80" w:type="dxa"/>
              <w:start w:w="120" w:type="dxa"/>
              <w:bottom w:w="80" w:type="dxa"/>
              <w:end w:w="120" w:type="dxa"/>
            </w:tcMar>
          </w:tcPr>
          <w:p>
            <w:pPr>
              <w:spacing w:after="20" w:line="252" w:lineRule="auto"/>
            </w:pPr>
            <w:r/>
            <w:r>
              <w:rPr>
                <w:rFonts w:ascii="Arial" w:hAnsi="Arial"/>
                <w:b w:val="0"/>
                <w:i w:val="0"/>
                <w:color w:val="000000"/>
                <w:sz w:val="18"/>
              </w:rPr>
              <w:t>How did question outcomes become the final score?</w:t>
            </w:r>
          </w:p>
        </w:tc>
      </w:tr>
    </w:tbl>
    <w:p>
      <w:pPr>
        <w:spacing w:after="20"/>
      </w:pPr>
    </w:p>
    <w:p>
      <w:pPr>
        <w:pStyle w:val="Heading1"/>
      </w:pPr>
      <w:r>
        <w:t>Harness review conclusion</w:t>
      </w:r>
    </w:p>
    <w:p>
      <w:pPr>
        <w:spacing w:after="120" w:line="276" w:lineRule="auto"/>
      </w:pPr>
      <w:r>
        <w:rPr>
          <w:rFonts w:ascii="Arial" w:hAnsi="Arial"/>
          <w:b w:val="0"/>
          <w:i w:val="0"/>
          <w:color w:val="000000"/>
          <w:sz w:val="21"/>
        </w:rPr>
        <w:t>The evaluation harness is the core control that turns an LLM answer into an auditable experiment. It produces machine-readable question-level CSV/JSON files, retrieval and answer metrics, faithfulness measures, audit scores, a run log and frozen configuration. [E4][E5]</w:t>
      </w:r>
    </w:p>
    <w:p>
      <w:pPr>
        <w:spacing w:after="120" w:line="276" w:lineRule="auto"/>
      </w:pPr>
      <w:r>
        <w:rPr>
          <w:rFonts w:ascii="Arial" w:hAnsi="Arial"/>
          <w:b w:val="0"/>
          <w:i w:val="0"/>
          <w:color w:val="000000"/>
          <w:sz w:val="21"/>
        </w:rPr>
        <w:t>The 70% report-level threshold is a reproducible POC scoring rule, not an expert certification rule. The separate release gate remains BLOCKED, which correctly prevents two passing sample reports from being interpreted as production validation. [E5][E10]</w:t>
      </w:r>
    </w:p>
    <w:p>
      <w:pPr>
        <w:pStyle w:val="Heading1"/>
      </w:pPr>
      <w:r>
        <w:t>Engineering rationale and review use</w:t>
      </w:r>
    </w:p>
    <w:p>
      <w:pPr>
        <w:spacing w:after="120" w:line="276" w:lineRule="auto"/>
      </w:pPr>
      <w:r>
        <w:rPr>
          <w:rFonts w:ascii="Arial" w:hAnsi="Arial"/>
          <w:b w:val="0"/>
          <w:i w:val="0"/>
          <w:color w:val="000000"/>
          <w:sz w:val="21"/>
        </w:rPr>
        <w:t>The harness is a substantive deliverable, not merely a script that prints an accuracy number. It creates the evidence chain needed to challenge an audit score: the report and question are identifiable, the retrieved chunks and model response are retained, the configuration is frozen, and the aggregate score can be reconstructed from individual Yes/No/Insufficient Evidence decisions. [E4][E5][E8]</w:t>
      </w:r>
    </w:p>
    <w:p>
      <w:pPr>
        <w:spacing w:after="120" w:line="276" w:lineRule="auto"/>
      </w:pPr>
      <w:r>
        <w:rPr>
          <w:rFonts w:ascii="Arial" w:hAnsi="Arial"/>
          <w:b w:val="0"/>
          <w:i w:val="0"/>
          <w:color w:val="000000"/>
          <w:sz w:val="21"/>
        </w:rPr>
        <w:t>Its metric design is deliberately multi-layered. Retrieval quality, answer correctness, grounding behaviour, CRAG behaviour and audit score are measured separately because they answer different questions. A high answer score with weak retrieval should prompt investigation, while a high grounding rate without balanced labels should not be mistaken for validated safety. [E5]</w:t>
      </w:r>
    </w:p>
    <w:p>
      <w:pPr>
        <w:spacing w:after="120" w:line="276" w:lineRule="auto"/>
      </w:pPr>
      <w:r>
        <w:rPr>
          <w:rFonts w:ascii="Arial" w:hAnsi="Arial"/>
          <w:b w:val="0"/>
          <w:i w:val="0"/>
          <w:color w:val="000000"/>
          <w:sz w:val="21"/>
        </w:rPr>
        <w:t>The release gate provides an important engineering safeguard: it converts missing benchmark evidence into an explicit BLOCKED result instead of a silent go-live assumption. The current proof therefore has a defensible outcome: the harness works and produces reproducible results, but the available data does not yet meet the evidence threshold for a production-quality claim. [E7][E8]</w:t>
      </w:r>
    </w:p>
    <w:p>
      <w:pPr>
        <w:pStyle w:val="Heading1"/>
      </w:pPr>
      <w:r>
        <w:t>Repository evidence cited</w:t>
      </w:r>
    </w:p>
    <w:p>
      <w:pPr>
        <w:pStyle w:val="ListBullet"/>
        <w:spacing w:after="60" w:line="264" w:lineRule="auto"/>
      </w:pPr>
      <w:r>
        <w:rPr>
          <w:rFonts w:ascii="Arial" w:hAnsi="Arial"/>
          <w:b w:val="0"/>
          <w:i w:val="0"/>
          <w:color w:val="000000"/>
          <w:sz w:val="20"/>
        </w:rPr>
        <w:t>[E4] results/production_real_reports/1787846335_de0ded86a7db/run_config.json and run.log: two-report production-parser run configuration and execution log.</w:t>
      </w:r>
    </w:p>
    <w:p>
      <w:pPr>
        <w:pStyle w:val="ListBullet"/>
        <w:spacing w:after="60" w:line="264" w:lineRule="auto"/>
      </w:pPr>
      <w:r>
        <w:rPr>
          <w:rFonts w:ascii="Arial" w:hAnsi="Arial"/>
          <w:b w:val="0"/>
          <w:i w:val="0"/>
          <w:color w:val="000000"/>
          <w:sz w:val="20"/>
        </w:rPr>
        <w:t>[E5] results/production_real_reports/1787846335_de0ded86a7db/{retrieval_metrics,question_level_llm_metrics,sota_faithfulness_metrics,audit_level_scores}.json: scored metrics and audit decisions.</w:t>
      </w:r>
    </w:p>
    <w:p>
      <w:pPr>
        <w:pStyle w:val="ListBullet"/>
        <w:spacing w:after="60" w:line="264" w:lineRule="auto"/>
      </w:pPr>
      <w:r>
        <w:rPr>
          <w:rFonts w:ascii="Arial" w:hAnsi="Arial"/>
          <w:b w:val="0"/>
          <w:i w:val="0"/>
          <w:color w:val="000000"/>
          <w:sz w:val="20"/>
        </w:rPr>
        <w:t>[E7] Verification executed 28 August 2026: python -m unittest test_json_parser.py test_adaptive_rag.py test_security_gates.py (6 tests passed) and python test_harness_mock.py (offline mock end-to-end passed).</w:t>
      </w:r>
    </w:p>
    <w:p>
      <w:pPr>
        <w:pStyle w:val="ListBullet"/>
        <w:spacing w:after="60" w:line="264" w:lineRule="auto"/>
      </w:pPr>
      <w:r>
        <w:rPr>
          <w:rFonts w:ascii="Arial" w:hAnsi="Arial"/>
          <w:b w:val="0"/>
          <w:i w:val="0"/>
          <w:color w:val="000000"/>
          <w:sz w:val="20"/>
        </w:rPr>
        <w:t>[E10] results/final_validation/VALIDATION_SUMMARY.md and its cited run directories: controlled local LLM, ICL, prompt, retrieval, CRAG, chunking and chunk-parameter comparisons completed 28 August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000000"/>
        <w:sz w:val="17"/>
      </w:rPr>
      <w:t>D09 Automated Evaluation Harness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val="0"/>
        <w:i w:val="0"/>
        <w:color w:val="000000"/>
        <w:sz w:val="17"/>
      </w:rPr>
      <w:t>Objective 3 | AI-Based Cyber Security Audit Assessment Against Benchmark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64"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line="264"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