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44"/>
        </w:rPr>
        <w:t>D10. Evaluation Results and Error Analysis</w:t>
      </w:r>
    </w:p>
    <w:p>
      <w:pPr>
        <w:spacing w:after="280"/>
      </w:pPr>
      <w:r>
        <w:rPr>
          <w:rFonts w:ascii="Arial" w:hAnsi="Arial"/>
          <w:b w:val="0"/>
          <w:i/>
          <w:color w:val="000000"/>
          <w:sz w:val="22"/>
        </w:rPr>
        <w:t>Quantitative outcomes, difficult cases and truthful interpretation.</w:t>
      </w:r>
    </w:p>
    <w:tbl>
      <w:tblPr>
        <w:tblStyle w:val="TableGrid"/>
        <w:tblW w:type="dxa" w:w="9360"/>
        <w:tblLayout w:type="fixed"/>
        <w:tblLook w:firstColumn="1" w:firstRow="1" w:lastColumn="0" w:lastRow="0" w:noHBand="0" w:noVBand="1" w:val="04A0"/>
        <w:tblInd w:w="120" w:type="dxa"/>
      </w:tblPr>
      <w:tblGrid>
        <w:gridCol w:w="1850"/>
        <w:gridCol w:w="751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Field</w:t>
            </w:r>
          </w:p>
        </w:tc>
        <w:tc>
          <w:tcPr>
            <w:tcW w:type="dxa" w:w="7510"/>
            <w:vAlign w:val="center"/>
            <w:tcMar>
              <w:top w:w="80" w:type="dxa"/>
              <w:start w:w="120" w:type="dxa"/>
              <w:bottom w:w="80" w:type="dxa"/>
              <w:end w:w="120" w:type="dxa"/>
            </w:tcMar>
          </w:tcPr>
          <w:p>
            <w:pPr>
              <w:spacing w:after="20"/>
            </w:pPr>
            <w:r/>
            <w:r>
              <w:rPr>
                <w:rFonts w:ascii="Arial" w:hAnsi="Arial"/>
                <w:b/>
                <w:i w:val="0"/>
                <w:color w:val="000000"/>
                <w:sz w:val="18"/>
              </w:rPr>
              <w:t>Value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Project</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Development of AI-Based Cyber Security Audit Assessment Against Benchmark</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Scope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Objective 3; secure local/air-gapped RAG proof of concept</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 date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28 August 2026</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rule</w:t>
            </w:r>
          </w:p>
        </w:tc>
        <w:tc>
          <w:tcPr>
            <w:tcW w:type="dxa" w:w="7510"/>
            <w:vAlign w:val="center"/>
            <w:tcMar>
              <w:top w:w="80" w:type="dxa"/>
              <w:start w:w="120" w:type="dxa"/>
              <w:bottom w:w="80" w:type="dxa"/>
              <w:end w:w="120" w:type="dxa"/>
            </w:tcMar>
          </w:tcPr>
          <w:p>
            <w:pPr>
              <w:spacing w:after="20" w:line="252" w:lineRule="auto"/>
            </w:pPr>
            <w:r/>
            <w:r>
              <w:rPr>
                <w:rFonts w:ascii="Arial" w:hAnsi="Arial"/>
                <w:b w:val="0"/>
                <w:i w:val="0"/>
                <w:color w:val="000000"/>
                <w:sz w:val="18"/>
              </w:rPr>
              <w:t>Implemented, tested and untested claims are labelled separately.</w:t>
            </w:r>
          </w:p>
        </w:tc>
      </w:tr>
    </w:tbl>
    <w:p>
      <w:pPr>
        <w:spacing w:after="20"/>
      </w:pPr>
    </w:p>
    <w:p>
      <w:pPr>
        <w:pStyle w:val="Heading1"/>
      </w:pPr>
      <w:r>
        <w:t>Observed error taxonomy</w:t>
      </w:r>
    </w:p>
    <w:tbl>
      <w:tblPr>
        <w:tblStyle w:val="TableGrid"/>
        <w:tblW w:type="dxa" w:w="9360"/>
        <w:tblLayout w:type="fixed"/>
        <w:tblLook w:firstColumn="1" w:firstRow="1" w:lastColumn="0" w:lastRow="0" w:noHBand="0" w:noVBand="1" w:val="04A0"/>
        <w:tblInd w:w="120" w:type="dxa"/>
      </w:tblPr>
      <w:tblGrid>
        <w:gridCol w:w="2200"/>
        <w:gridCol w:w="4000"/>
        <w:gridCol w:w="3160"/>
      </w:tblGrid>
      <w:tr>
        <w:tc>
          <w:tcPr>
            <w:tcW w:type="dxa" w:w="2200"/>
            <w:vAlign w:val="center"/>
            <w:tcMar>
              <w:top w:w="80" w:type="dxa"/>
              <w:start w:w="120" w:type="dxa"/>
              <w:bottom w:w="80" w:type="dxa"/>
              <w:end w:w="120" w:type="dxa"/>
            </w:tcMar>
          </w:tcPr>
          <w:p>
            <w:pPr>
              <w:spacing w:after="20"/>
            </w:pPr>
            <w:r/>
            <w:r>
              <w:rPr>
                <w:rFonts w:ascii="Arial" w:hAnsi="Arial"/>
                <w:b/>
                <w:i w:val="0"/>
                <w:color w:val="000000"/>
                <w:sz w:val="18"/>
              </w:rPr>
              <w:t>Failure pattern</w:t>
            </w:r>
          </w:p>
        </w:tc>
        <w:tc>
          <w:tcPr>
            <w:tcW w:type="dxa" w:w="4000"/>
            <w:vAlign w:val="center"/>
            <w:tcMar>
              <w:top w:w="80" w:type="dxa"/>
              <w:start w:w="120" w:type="dxa"/>
              <w:bottom w:w="80" w:type="dxa"/>
              <w:end w:w="120" w:type="dxa"/>
            </w:tcMar>
          </w:tcPr>
          <w:p>
            <w:pPr>
              <w:spacing w:after="20"/>
            </w:pPr>
            <w:r/>
            <w:r>
              <w:rPr>
                <w:rFonts w:ascii="Arial" w:hAnsi="Arial"/>
                <w:b/>
                <w:i w:val="0"/>
                <w:color w:val="000000"/>
                <w:sz w:val="18"/>
              </w:rPr>
              <w:t>Observed evidence</w:t>
            </w:r>
          </w:p>
        </w:tc>
        <w:tc>
          <w:tcPr>
            <w:tcW w:type="dxa" w:w="3160"/>
            <w:vAlign w:val="center"/>
            <w:tcMar>
              <w:top w:w="80" w:type="dxa"/>
              <w:start w:w="120" w:type="dxa"/>
              <w:bottom w:w="80" w:type="dxa"/>
              <w:end w:w="120" w:type="dxa"/>
            </w:tcMar>
          </w:tcPr>
          <w:p>
            <w:pPr>
              <w:spacing w:after="20"/>
            </w:pPr>
            <w:r/>
            <w:r>
              <w:rPr>
                <w:rFonts w:ascii="Arial" w:hAnsi="Arial"/>
                <w:b/>
                <w:i w:val="0"/>
                <w:color w:val="000000"/>
                <w:sz w:val="18"/>
              </w:rPr>
              <w:t>Response</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No interpreted as Yes</w:t>
            </w:r>
          </w:p>
        </w:tc>
        <w:tc>
          <w:tcPr>
            <w:tcW w:type="dxa" w:w="4000"/>
            <w:vAlign w:val="center"/>
            <w:tcMar>
              <w:top w:w="80" w:type="dxa"/>
              <w:start w:w="120" w:type="dxa"/>
              <w:bottom w:w="80" w:type="dxa"/>
              <w:end w:w="120" w:type="dxa"/>
            </w:tcMar>
          </w:tcPr>
          <w:p>
            <w:pPr>
              <w:spacing w:after="20" w:line="252" w:lineRule="auto"/>
            </w:pPr>
            <w:r/>
            <w:r>
              <w:rPr>
                <w:rFonts w:ascii="Arial" w:hAnsi="Arial"/>
                <w:b w:val="0"/>
                <w:i w:val="0"/>
                <w:color w:val="000000"/>
                <w:sz w:val="18"/>
              </w:rPr>
              <w:t>3 of 4 No labels missed in the Qwen3 real-report run</w:t>
            </w:r>
          </w:p>
        </w:tc>
        <w:tc>
          <w:tcPr>
            <w:tcW w:type="dxa" w:w="3160"/>
            <w:vAlign w:val="center"/>
            <w:tcMar>
              <w:top w:w="80" w:type="dxa"/>
              <w:start w:w="120" w:type="dxa"/>
              <w:bottom w:w="80" w:type="dxa"/>
              <w:end w:w="120" w:type="dxa"/>
            </w:tcMar>
          </w:tcPr>
          <w:p>
            <w:pPr>
              <w:spacing w:after="20" w:line="252" w:lineRule="auto"/>
            </w:pPr>
            <w:r/>
            <w:r>
              <w:rPr>
                <w:rFonts w:ascii="Arial" w:hAnsi="Arial"/>
                <w:b w:val="0"/>
                <w:i w:val="0"/>
                <w:color w:val="000000"/>
                <w:sz w:val="18"/>
              </w:rPr>
              <w:t>Add negative and contradiction-focused labels</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Missing-evidence safety unmeasured</w:t>
            </w:r>
          </w:p>
        </w:tc>
        <w:tc>
          <w:tcPr>
            <w:tcW w:type="dxa" w:w="4000"/>
            <w:vAlign w:val="center"/>
            <w:tcMar>
              <w:top w:w="80" w:type="dxa"/>
              <w:start w:w="120" w:type="dxa"/>
              <w:bottom w:w="80" w:type="dxa"/>
              <w:end w:w="120" w:type="dxa"/>
            </w:tcMar>
          </w:tcPr>
          <w:p>
            <w:pPr>
              <w:spacing w:after="20" w:line="252" w:lineRule="auto"/>
            </w:pPr>
            <w:r/>
            <w:r>
              <w:rPr>
                <w:rFonts w:ascii="Arial" w:hAnsi="Arial"/>
                <w:b w:val="0"/>
                <w:i w:val="0"/>
                <w:color w:val="000000"/>
                <w:sz w:val="18"/>
              </w:rPr>
              <w:t>No Insufficient Evidence gold examples</w:t>
            </w:r>
          </w:p>
        </w:tc>
        <w:tc>
          <w:tcPr>
            <w:tcW w:type="dxa" w:w="3160"/>
            <w:vAlign w:val="center"/>
            <w:tcMar>
              <w:top w:w="80" w:type="dxa"/>
              <w:start w:w="120" w:type="dxa"/>
              <w:bottom w:w="80" w:type="dxa"/>
              <w:end w:w="120" w:type="dxa"/>
            </w:tcMar>
          </w:tcPr>
          <w:p>
            <w:pPr>
              <w:spacing w:after="20" w:line="252" w:lineRule="auto"/>
            </w:pPr>
            <w:r/>
            <w:r>
              <w:rPr>
                <w:rFonts w:ascii="Arial" w:hAnsi="Arial"/>
                <w:b w:val="0"/>
                <w:i w:val="0"/>
                <w:color w:val="000000"/>
                <w:sz w:val="18"/>
              </w:rPr>
              <w:t>Create independently labelled abstention cases</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Weak evidence ranking</w:t>
            </w:r>
          </w:p>
        </w:tc>
        <w:tc>
          <w:tcPr>
            <w:tcW w:type="dxa" w:w="4000"/>
            <w:vAlign w:val="center"/>
            <w:tcMar>
              <w:top w:w="80" w:type="dxa"/>
              <w:start w:w="120" w:type="dxa"/>
              <w:bottom w:w="80" w:type="dxa"/>
              <w:end w:w="120" w:type="dxa"/>
            </w:tcMar>
          </w:tcPr>
          <w:p>
            <w:pPr>
              <w:spacing w:after="20" w:line="252" w:lineRule="auto"/>
            </w:pPr>
            <w:r/>
            <w:r>
              <w:rPr>
                <w:rFonts w:ascii="Arial" w:hAnsi="Arial"/>
                <w:b w:val="0"/>
                <w:i w:val="0"/>
                <w:color w:val="000000"/>
                <w:sz w:val="18"/>
              </w:rPr>
              <w:t>Recall@8=87.50%; MRR=0.2781 in Qwen3 run</w:t>
            </w:r>
          </w:p>
        </w:tc>
        <w:tc>
          <w:tcPr>
            <w:tcW w:type="dxa" w:w="3160"/>
            <w:vAlign w:val="center"/>
            <w:tcMar>
              <w:top w:w="80" w:type="dxa"/>
              <w:start w:w="120" w:type="dxa"/>
              <w:bottom w:w="80" w:type="dxa"/>
              <w:end w:w="120" w:type="dxa"/>
            </w:tcMar>
          </w:tcPr>
          <w:p>
            <w:pPr>
              <w:spacing w:after="20" w:line="252" w:lineRule="auto"/>
            </w:pPr>
            <w:r/>
            <w:r>
              <w:rPr>
                <w:rFonts w:ascii="Arial" w:hAnsi="Arial"/>
                <w:b w:val="0"/>
                <w:i w:val="0"/>
                <w:color w:val="000000"/>
                <w:sz w:val="18"/>
              </w:rPr>
              <w:t>Inspect query/chunk evidence and retriever variants</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Malformed structured output</w:t>
            </w:r>
          </w:p>
        </w:tc>
        <w:tc>
          <w:tcPr>
            <w:tcW w:type="dxa" w:w="4000"/>
            <w:vAlign w:val="center"/>
            <w:tcMar>
              <w:top w:w="80" w:type="dxa"/>
              <w:start w:w="120" w:type="dxa"/>
              <w:bottom w:w="80" w:type="dxa"/>
              <w:end w:w="120" w:type="dxa"/>
            </w:tcMar>
          </w:tcPr>
          <w:p>
            <w:pPr>
              <w:spacing w:after="20" w:line="252" w:lineRule="auto"/>
            </w:pPr>
            <w:r/>
            <w:r>
              <w:rPr>
                <w:rFonts w:ascii="Arial" w:hAnsi="Arial"/>
                <w:b w:val="0"/>
                <w:i w:val="0"/>
                <w:color w:val="000000"/>
                <w:sz w:val="18"/>
              </w:rPr>
              <w:t>Contextual and large-window conditions produced parse/review flags</w:t>
            </w:r>
          </w:p>
        </w:tc>
        <w:tc>
          <w:tcPr>
            <w:tcW w:type="dxa" w:w="3160"/>
            <w:vAlign w:val="center"/>
            <w:tcMar>
              <w:top w:w="80" w:type="dxa"/>
              <w:start w:w="120" w:type="dxa"/>
              <w:bottom w:w="80" w:type="dxa"/>
              <w:end w:w="120" w:type="dxa"/>
            </w:tcMar>
          </w:tcPr>
          <w:p>
            <w:pPr>
              <w:spacing w:after="20" w:line="252" w:lineRule="auto"/>
            </w:pPr>
            <w:r/>
            <w:r>
              <w:rPr>
                <w:rFonts w:ascii="Arial" w:hAnsi="Arial"/>
                <w:b w:val="0"/>
                <w:i w:val="0"/>
                <w:color w:val="000000"/>
                <w:sz w:val="18"/>
              </w:rPr>
              <w:t>Retain schema checks and avoid unvalidated settings</w:t>
            </w:r>
          </w:p>
        </w:tc>
      </w:tr>
    </w:tbl>
    <w:p>
      <w:pPr>
        <w:spacing w:after="20"/>
      </w:pPr>
    </w:p>
    <w:p>
      <w:pPr>
        <w:pStyle w:val="Heading1"/>
      </w:pPr>
      <w:r>
        <w:t>Interpretation of the headline result</w:t>
      </w:r>
    </w:p>
    <w:p>
      <w:pPr>
        <w:spacing w:after="120" w:line="276" w:lineRule="auto"/>
      </w:pPr>
      <w:r>
        <w:rPr>
          <w:rFonts w:ascii="Arial" w:hAnsi="Arial"/>
          <w:b w:val="0"/>
          <w:i w:val="0"/>
          <w:color w:val="000000"/>
          <w:sz w:val="21"/>
        </w:rPr>
        <w:t>The 81.25% Qwen3 accuracy is a useful POC result because it comes from a real executed two-report workflow, not an illustrative demo. It is not enough to claim reliable assessment across unseen agencies, report formats or missing-evidence cases. [E4][E5][E10]</w:t>
      </w:r>
    </w:p>
    <w:p>
      <w:pPr>
        <w:spacing w:after="120" w:line="276" w:lineRule="auto"/>
      </w:pPr>
      <w:r>
        <w:rPr>
          <w:rFonts w:ascii="Arial" w:hAnsi="Arial"/>
          <w:b w:val="0"/>
          <w:i w:val="0"/>
          <w:color w:val="000000"/>
          <w:sz w:val="21"/>
        </w:rPr>
        <w:t>The architecture's value is that these limitations are visible. The harness surfaces ranking metrics, response errors, flags and class imbalance instead of presenting only the headline audit score. [E5][E10]</w:t>
      </w:r>
    </w:p>
    <w:p>
      <w:pPr>
        <w:pStyle w:val="Heading1"/>
      </w:pPr>
      <w:r>
        <w:t>Primary result: two-report JSON proof set</w:t>
      </w:r>
    </w:p>
    <w:tbl>
      <w:tblPr>
        <w:tblStyle w:val="TableGrid"/>
        <w:tblW w:type="dxa" w:w="9360"/>
        <w:tblLayout w:type="fixed"/>
        <w:tblLook w:firstColumn="1" w:firstRow="1" w:lastColumn="0" w:lastRow="0" w:noHBand="0" w:noVBand="1" w:val="04A0"/>
        <w:tblInd w:w="120" w:type="dxa"/>
      </w:tblPr>
      <w:tblGrid>
        <w:gridCol w:w="2200"/>
        <w:gridCol w:w="1850"/>
        <w:gridCol w:w="5310"/>
      </w:tblGrid>
      <w:tr>
        <w:tc>
          <w:tcPr>
            <w:tcW w:type="dxa" w:w="2200"/>
            <w:vAlign w:val="center"/>
            <w:tcMar>
              <w:top w:w="80" w:type="dxa"/>
              <w:start w:w="120" w:type="dxa"/>
              <w:bottom w:w="80" w:type="dxa"/>
              <w:end w:w="120" w:type="dxa"/>
            </w:tcMar>
          </w:tcPr>
          <w:p>
            <w:pPr>
              <w:spacing w:after="20"/>
            </w:pPr>
            <w:r/>
            <w:r>
              <w:rPr>
                <w:rFonts w:ascii="Arial" w:hAnsi="Arial"/>
                <w:b/>
                <w:i w:val="0"/>
                <w:color w:val="000000"/>
                <w:sz w:val="18"/>
              </w:rPr>
              <w:t>Measure</w:t>
            </w:r>
          </w:p>
        </w:tc>
        <w:tc>
          <w:tcPr>
            <w:tcW w:type="dxa" w:w="1850"/>
            <w:vAlign w:val="center"/>
            <w:tcMar>
              <w:top w:w="80" w:type="dxa"/>
              <w:start w:w="120" w:type="dxa"/>
              <w:bottom w:w="80" w:type="dxa"/>
              <w:end w:w="120" w:type="dxa"/>
            </w:tcMar>
          </w:tcPr>
          <w:p>
            <w:pPr>
              <w:spacing w:after="20"/>
            </w:pPr>
            <w:r/>
            <w:r>
              <w:rPr>
                <w:rFonts w:ascii="Arial" w:hAnsi="Arial"/>
                <w:b/>
                <w:i w:val="0"/>
                <w:color w:val="000000"/>
                <w:sz w:val="18"/>
              </w:rPr>
              <w:t>Observed value</w:t>
            </w:r>
          </w:p>
        </w:tc>
        <w:tc>
          <w:tcPr>
            <w:tcW w:type="dxa" w:w="5310"/>
            <w:vAlign w:val="center"/>
            <w:tcMar>
              <w:top w:w="80" w:type="dxa"/>
              <w:start w:w="120" w:type="dxa"/>
              <w:bottom w:w="80" w:type="dxa"/>
              <w:end w:w="120" w:type="dxa"/>
            </w:tcMar>
          </w:tcPr>
          <w:p>
            <w:pPr>
              <w:spacing w:after="20"/>
            </w:pPr>
            <w:r/>
            <w:r>
              <w:rPr>
                <w:rFonts w:ascii="Arial" w:hAnsi="Arial"/>
                <w:b/>
                <w:i w:val="0"/>
                <w:color w:val="000000"/>
                <w:sz w:val="18"/>
              </w:rPr>
              <w:t>Meaning</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Report-question pairs / chunks</w:t>
            </w:r>
          </w:p>
        </w:tc>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16 / 22</w:t>
            </w:r>
          </w:p>
        </w:tc>
        <w:tc>
          <w:tcPr>
            <w:tcW w:type="dxa" w:w="5310"/>
            <w:vAlign w:val="center"/>
            <w:tcMar>
              <w:top w:w="80" w:type="dxa"/>
              <w:start w:w="120" w:type="dxa"/>
              <w:bottom w:w="80" w:type="dxa"/>
              <w:end w:w="120" w:type="dxa"/>
            </w:tcMar>
          </w:tcPr>
          <w:p>
            <w:pPr>
              <w:spacing w:after="20" w:line="252" w:lineRule="auto"/>
            </w:pPr>
            <w:r/>
            <w:r>
              <w:rPr>
                <w:rFonts w:ascii="Arial" w:hAnsi="Arial"/>
                <w:b w:val="0"/>
                <w:i w:val="0"/>
                <w:color w:val="000000"/>
                <w:sz w:val="18"/>
              </w:rPr>
              <w:t>Small integration dataset [E4]</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Answer accuracy / macro-F1</w:t>
            </w:r>
          </w:p>
        </w:tc>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81.25% / 0.4296</w:t>
            </w:r>
          </w:p>
        </w:tc>
        <w:tc>
          <w:tcPr>
            <w:tcW w:type="dxa" w:w="5310"/>
            <w:vAlign w:val="center"/>
            <w:tcMar>
              <w:top w:w="80" w:type="dxa"/>
              <w:start w:w="120" w:type="dxa"/>
              <w:bottom w:w="80" w:type="dxa"/>
              <w:end w:w="120" w:type="dxa"/>
            </w:tcMar>
          </w:tcPr>
          <w:p>
            <w:pPr>
              <w:spacing w:after="20" w:line="252" w:lineRule="auto"/>
            </w:pPr>
            <w:r/>
            <w:r>
              <w:rPr>
                <w:rFonts w:ascii="Arial" w:hAnsi="Arial"/>
                <w:b w:val="0"/>
                <w:i w:val="0"/>
                <w:color w:val="000000"/>
                <w:sz w:val="18"/>
              </w:rPr>
              <w:t>Macro-F1 limited by No errors and zero abstention support [E5]</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Precision@8 / Recall@8</w:t>
            </w:r>
          </w:p>
        </w:tc>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14.43% / 87.50%</w:t>
            </w:r>
          </w:p>
        </w:tc>
        <w:tc>
          <w:tcPr>
            <w:tcW w:type="dxa" w:w="5310"/>
            <w:vAlign w:val="center"/>
            <w:tcMar>
              <w:top w:w="80" w:type="dxa"/>
              <w:start w:w="120" w:type="dxa"/>
              <w:bottom w:w="80" w:type="dxa"/>
              <w:end w:w="120" w:type="dxa"/>
            </w:tcMar>
          </w:tcPr>
          <w:p>
            <w:pPr>
              <w:spacing w:after="20" w:line="252" w:lineRule="auto"/>
            </w:pPr>
            <w:r/>
            <w:r>
              <w:rPr>
                <w:rFonts w:ascii="Arial" w:hAnsi="Arial"/>
                <w:b w:val="0"/>
                <w:i w:val="0"/>
                <w:color w:val="000000"/>
                <w:sz w:val="18"/>
              </w:rPr>
              <w:t>Evidence is often found but weakly ranked [E5]</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MRR / nDCG@8</w:t>
            </w:r>
          </w:p>
        </w:tc>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0.2781 / 0.4212</w:t>
            </w:r>
          </w:p>
        </w:tc>
        <w:tc>
          <w:tcPr>
            <w:tcW w:type="dxa" w:w="5310"/>
            <w:vAlign w:val="center"/>
            <w:tcMar>
              <w:top w:w="80" w:type="dxa"/>
              <w:start w:w="120" w:type="dxa"/>
              <w:bottom w:w="80" w:type="dxa"/>
              <w:end w:w="120" w:type="dxa"/>
            </w:tcMar>
          </w:tcPr>
          <w:p>
            <w:pPr>
              <w:spacing w:after="20" w:line="252" w:lineRule="auto"/>
            </w:pPr>
            <w:r/>
            <w:r>
              <w:rPr>
                <w:rFonts w:ascii="Arial" w:hAnsi="Arial"/>
                <w:b w:val="0"/>
                <w:i w:val="0"/>
                <w:color w:val="000000"/>
                <w:sz w:val="18"/>
              </w:rPr>
              <w:t>Relevant evidence is not consistently near the top [E5]</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Grounding / CRAG-correct</w:t>
            </w:r>
          </w:p>
        </w:tc>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100% / 25.00%</w:t>
            </w:r>
          </w:p>
        </w:tc>
        <w:tc>
          <w:tcPr>
            <w:tcW w:type="dxa" w:w="5310"/>
            <w:vAlign w:val="center"/>
            <w:tcMar>
              <w:top w:w="80" w:type="dxa"/>
              <w:start w:w="120" w:type="dxa"/>
              <w:bottom w:w="80" w:type="dxa"/>
              <w:end w:w="120" w:type="dxa"/>
            </w:tcMar>
          </w:tcPr>
          <w:p>
            <w:pPr>
              <w:spacing w:after="20" w:line="252" w:lineRule="auto"/>
            </w:pPr>
            <w:r/>
            <w:r>
              <w:rPr>
                <w:rFonts w:ascii="Arial" w:hAnsi="Arial"/>
                <w:b w:val="0"/>
                <w:i w:val="0"/>
                <w:color w:val="000000"/>
                <w:sz w:val="18"/>
              </w:rPr>
              <w:t>Citation-boundary pass is not semantic entailment [E5][E8]</w:t>
            </w:r>
          </w:p>
        </w:tc>
      </w:tr>
      <w:tr>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CRAG reformulation / mean latency</w:t>
            </w:r>
          </w:p>
        </w:tc>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68.75% / 13.66 s</w:t>
            </w:r>
          </w:p>
        </w:tc>
        <w:tc>
          <w:tcPr>
            <w:tcW w:type="dxa" w:w="5310"/>
            <w:vAlign w:val="center"/>
            <w:tcMar>
              <w:top w:w="80" w:type="dxa"/>
              <w:start w:w="120" w:type="dxa"/>
              <w:bottom w:w="80" w:type="dxa"/>
              <w:end w:w="120" w:type="dxa"/>
            </w:tcMar>
          </w:tcPr>
          <w:p>
            <w:pPr>
              <w:spacing w:after="20" w:line="252" w:lineRule="auto"/>
            </w:pPr>
            <w:r/>
            <w:r>
              <w:rPr>
                <w:rFonts w:ascii="Arial" w:hAnsi="Arial"/>
                <w:b w:val="0"/>
                <w:i w:val="0"/>
                <w:color w:val="000000"/>
                <w:sz w:val="18"/>
              </w:rPr>
              <w:t>Retrieval judge is frequently uncertain; end-to-end latency is measurable [E5]</w:t>
            </w:r>
          </w:p>
        </w:tc>
      </w:tr>
    </w:tbl>
    <w:p>
      <w:pPr>
        <w:spacing w:after="20"/>
      </w:pPr>
    </w:p>
    <w:p>
      <w:pPr>
        <w:pStyle w:val="Heading1"/>
      </w:pPr>
      <w:r>
        <w:t>Audit-level output</w:t>
      </w:r>
    </w:p>
    <w:tbl>
      <w:tblPr>
        <w:tblStyle w:val="TableGrid"/>
        <w:tblW w:type="dxa" w:w="9360"/>
        <w:tblLayout w:type="fixed"/>
        <w:tblLook w:firstColumn="1" w:firstRow="1" w:lastColumn="0" w:lastRow="0" w:noHBand="0" w:noVBand="1" w:val="04A0"/>
        <w:tblInd w:w="120" w:type="dxa"/>
      </w:tblPr>
      <w:tblGrid>
        <w:gridCol w:w="2300"/>
        <w:gridCol w:w="2200"/>
        <w:gridCol w:w="2200"/>
        <w:gridCol w:w="2660"/>
      </w:tblGrid>
      <w:tr>
        <w:tc>
          <w:tcPr>
            <w:tcW w:type="dxa" w:w="2300"/>
            <w:vAlign w:val="center"/>
            <w:tcMar>
              <w:top w:w="80" w:type="dxa"/>
              <w:start w:w="120" w:type="dxa"/>
              <w:bottom w:w="80" w:type="dxa"/>
              <w:end w:w="120" w:type="dxa"/>
            </w:tcMar>
          </w:tcPr>
          <w:p>
            <w:pPr>
              <w:spacing w:after="20"/>
            </w:pPr>
            <w:r/>
            <w:r>
              <w:rPr>
                <w:rFonts w:ascii="Arial" w:hAnsi="Arial"/>
                <w:b/>
                <w:i w:val="0"/>
                <w:color w:val="000000"/>
                <w:sz w:val="18"/>
              </w:rPr>
              <w:t>Report</w:t>
            </w:r>
          </w:p>
        </w:tc>
        <w:tc>
          <w:tcPr>
            <w:tcW w:type="dxa" w:w="2200"/>
            <w:vAlign w:val="center"/>
            <w:tcMar>
              <w:top w:w="80" w:type="dxa"/>
              <w:start w:w="120" w:type="dxa"/>
              <w:bottom w:w="80" w:type="dxa"/>
              <w:end w:w="120" w:type="dxa"/>
            </w:tcMar>
          </w:tcPr>
          <w:p>
            <w:pPr>
              <w:spacing w:after="20"/>
            </w:pPr>
            <w:r/>
            <w:r>
              <w:rPr>
                <w:rFonts w:ascii="Arial" w:hAnsi="Arial"/>
                <w:b/>
                <w:i w:val="0"/>
                <w:color w:val="000000"/>
                <w:sz w:val="18"/>
              </w:rPr>
              <w:t>Positive / total</w:t>
            </w:r>
          </w:p>
        </w:tc>
        <w:tc>
          <w:tcPr>
            <w:tcW w:type="dxa" w:w="2200"/>
            <w:vAlign w:val="center"/>
            <w:tcMar>
              <w:top w:w="80" w:type="dxa"/>
              <w:start w:w="120" w:type="dxa"/>
              <w:bottom w:w="80" w:type="dxa"/>
              <w:end w:w="120" w:type="dxa"/>
            </w:tcMar>
          </w:tcPr>
          <w:p>
            <w:pPr>
              <w:spacing w:after="20"/>
            </w:pPr>
            <w:r/>
            <w:r>
              <w:rPr>
                <w:rFonts w:ascii="Arial" w:hAnsi="Arial"/>
                <w:b/>
                <w:i w:val="0"/>
                <w:color w:val="000000"/>
                <w:sz w:val="18"/>
              </w:rPr>
              <w:t>Score</w:t>
            </w:r>
          </w:p>
        </w:tc>
        <w:tc>
          <w:tcPr>
            <w:tcW w:type="dxa" w:w="2660"/>
            <w:vAlign w:val="center"/>
            <w:tcMar>
              <w:top w:w="80" w:type="dxa"/>
              <w:start w:w="120" w:type="dxa"/>
              <w:bottom w:w="80" w:type="dxa"/>
              <w:end w:w="120" w:type="dxa"/>
            </w:tcMar>
          </w:tcPr>
          <w:p>
            <w:pPr>
              <w:spacing w:after="20"/>
            </w:pPr>
            <w:r/>
            <w:r>
              <w:rPr>
                <w:rFonts w:ascii="Arial" w:hAnsi="Arial"/>
                <w:b/>
                <w:i w:val="0"/>
                <w:color w:val="000000"/>
                <w:sz w:val="18"/>
              </w:rPr>
              <w:t>Decision</w:t>
            </w:r>
          </w:p>
        </w:tc>
      </w:tr>
      <w:tr>
        <w:tc>
          <w:tcPr>
            <w:tcW w:type="dxa" w:w="2300"/>
            <w:vAlign w:val="center"/>
            <w:tcMar>
              <w:top w:w="80" w:type="dxa"/>
              <w:start w:w="120" w:type="dxa"/>
              <w:bottom w:w="80" w:type="dxa"/>
              <w:end w:w="120" w:type="dxa"/>
            </w:tcMar>
          </w:tcPr>
          <w:p>
            <w:pPr>
              <w:spacing w:after="20" w:line="252" w:lineRule="auto"/>
            </w:pPr>
            <w:r/>
            <w:r>
              <w:rPr>
                <w:rFonts w:ascii="Arial" w:hAnsi="Arial"/>
                <w:b w:val="0"/>
                <w:i w:val="0"/>
                <w:color w:val="000000"/>
                <w:sz w:val="18"/>
              </w:rPr>
              <w:t>2-REPORT</w:t>
            </w:r>
          </w:p>
        </w:tc>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8 / 8</w:t>
            </w:r>
          </w:p>
        </w:tc>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100.00%</w:t>
            </w:r>
          </w:p>
        </w:tc>
        <w:tc>
          <w:tcPr>
            <w:tcW w:type="dxa" w:w="2660"/>
            <w:vAlign w:val="center"/>
            <w:tcMar>
              <w:top w:w="80" w:type="dxa"/>
              <w:start w:w="120" w:type="dxa"/>
              <w:bottom w:w="80" w:type="dxa"/>
              <w:end w:w="120" w:type="dxa"/>
            </w:tcMar>
          </w:tcPr>
          <w:p>
            <w:pPr>
              <w:spacing w:after="20" w:line="252" w:lineRule="auto"/>
            </w:pPr>
            <w:r/>
            <w:r>
              <w:rPr>
                <w:rFonts w:ascii="Arial" w:hAnsi="Arial"/>
                <w:b w:val="0"/>
                <w:i w:val="0"/>
                <w:color w:val="000000"/>
                <w:sz w:val="18"/>
              </w:rPr>
              <w:t>PASS at 70% threshold [E5]</w:t>
            </w:r>
          </w:p>
        </w:tc>
      </w:tr>
      <w:tr>
        <w:tc>
          <w:tcPr>
            <w:tcW w:type="dxa" w:w="2300"/>
            <w:vAlign w:val="center"/>
            <w:tcMar>
              <w:top w:w="80" w:type="dxa"/>
              <w:start w:w="120" w:type="dxa"/>
              <w:bottom w:w="80" w:type="dxa"/>
              <w:end w:w="120" w:type="dxa"/>
            </w:tcMar>
          </w:tcPr>
          <w:p>
            <w:pPr>
              <w:spacing w:after="20" w:line="252" w:lineRule="auto"/>
            </w:pPr>
            <w:r/>
            <w:r>
              <w:rPr>
                <w:rFonts w:ascii="Arial" w:hAnsi="Arial"/>
                <w:b w:val="0"/>
                <w:i w:val="0"/>
                <w:color w:val="000000"/>
                <w:sz w:val="18"/>
              </w:rPr>
              <w:t>4-REPORT</w:t>
            </w:r>
          </w:p>
        </w:tc>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7 / 8</w:t>
            </w:r>
          </w:p>
        </w:tc>
        <w:tc>
          <w:tcPr>
            <w:tcW w:type="dxa" w:w="2200"/>
            <w:vAlign w:val="center"/>
            <w:tcMar>
              <w:top w:w="80" w:type="dxa"/>
              <w:start w:w="120" w:type="dxa"/>
              <w:bottom w:w="80" w:type="dxa"/>
              <w:end w:w="120" w:type="dxa"/>
            </w:tcMar>
          </w:tcPr>
          <w:p>
            <w:pPr>
              <w:spacing w:after="20" w:line="252" w:lineRule="auto"/>
            </w:pPr>
            <w:r/>
            <w:r>
              <w:rPr>
                <w:rFonts w:ascii="Arial" w:hAnsi="Arial"/>
                <w:b w:val="0"/>
                <w:i w:val="0"/>
                <w:color w:val="000000"/>
                <w:sz w:val="18"/>
              </w:rPr>
              <w:t>87.50%</w:t>
            </w:r>
          </w:p>
        </w:tc>
        <w:tc>
          <w:tcPr>
            <w:tcW w:type="dxa" w:w="2660"/>
            <w:vAlign w:val="center"/>
            <w:tcMar>
              <w:top w:w="80" w:type="dxa"/>
              <w:start w:w="120" w:type="dxa"/>
              <w:bottom w:w="80" w:type="dxa"/>
              <w:end w:w="120" w:type="dxa"/>
            </w:tcMar>
          </w:tcPr>
          <w:p>
            <w:pPr>
              <w:spacing w:after="20" w:line="252" w:lineRule="auto"/>
            </w:pPr>
            <w:r/>
            <w:r>
              <w:rPr>
                <w:rFonts w:ascii="Arial" w:hAnsi="Arial"/>
                <w:b w:val="0"/>
                <w:i w:val="0"/>
                <w:color w:val="000000"/>
                <w:sz w:val="18"/>
              </w:rPr>
              <w:t>PASS at 70% threshold [E5]</w:t>
            </w:r>
          </w:p>
        </w:tc>
      </w:tr>
    </w:tbl>
    <w:p>
      <w:pPr>
        <w:spacing w:after="20"/>
      </w:pPr>
    </w:p>
    <w:p>
      <w:pPr>
        <w:pStyle w:val="Heading1"/>
      </w:pPr>
      <w:r>
        <w:t>Error analysis</w:t>
      </w:r>
    </w:p>
    <w:p>
      <w:pPr>
        <w:spacing w:after="120" w:line="276" w:lineRule="auto"/>
      </w:pPr>
      <w:r>
        <w:rPr>
          <w:rFonts w:ascii="Arial" w:hAnsi="Arial"/>
          <w:b w:val="0"/>
          <w:i w:val="0"/>
          <w:color w:val="000000"/>
          <w:sz w:val="21"/>
        </w:rPr>
        <w:t>The answer confusion matrix contains 12 correct Yes responses, one correct No response and three No-to-Yes errors. This makes universal or negative report statements the highest-priority failure type. [E5]</w:t>
      </w:r>
    </w:p>
    <w:p>
      <w:pPr>
        <w:spacing w:after="120" w:line="276" w:lineRule="auto"/>
      </w:pPr>
      <w:r>
        <w:rPr>
          <w:rFonts w:ascii="Arial" w:hAnsi="Arial"/>
          <w:b w:val="0"/>
          <w:i w:val="0"/>
          <w:color w:val="000000"/>
          <w:sz w:val="21"/>
        </w:rPr>
        <w:t>Two queries have zero recall@8. Raising the context limit alone would conceal the diagnosis; inspect gold labels, chunk boundaries and query formulation, then run isolated retrieval ablations. [E5]</w:t>
      </w:r>
    </w:p>
    <w:p>
      <w:pPr>
        <w:spacing w:after="120" w:line="276" w:lineRule="auto"/>
      </w:pPr>
      <w:r>
        <w:rPr>
          <w:rFonts w:ascii="Arial" w:hAnsi="Arial"/>
          <w:b w:val="0"/>
          <w:i w:val="0"/>
          <w:color w:val="000000"/>
          <w:sz w:val="21"/>
        </w:rPr>
        <w:t>The grounder checks evidence-boundary/lexical support, so 100% grounding should not be reported as proof that every answer is entailed by the cited passage. [E5][E8]</w:t>
      </w:r>
    </w:p>
    <w:p>
      <w:pPr>
        <w:pStyle w:val="Heading1"/>
      </w:pPr>
      <w:r>
        <w:t>Related saved results</w:t>
      </w:r>
    </w:p>
    <w:p>
      <w:pPr>
        <w:spacing w:after="120" w:line="276" w:lineRule="auto"/>
      </w:pPr>
      <w:r>
        <w:rPr>
          <w:rFonts w:ascii="Arial" w:hAnsi="Arial"/>
          <w:b w:val="0"/>
          <w:i w:val="0"/>
          <w:color w:val="000000"/>
          <w:sz w:val="21"/>
        </w:rPr>
        <w:t>The separate Qwen3 retrieval comparison tied B0 on a very small one-report corpus. The Qwen3-0.6B end-to-end run achieved 58.33% accuracy and predicted No for all questions, showing that a newer/smaller generator is not automatically a better choice. [E2][E3]</w:t>
      </w:r>
    </w:p>
    <w:p>
      <w:pPr>
        <w:spacing w:after="120" w:line="276" w:lineRule="auto"/>
      </w:pPr>
      <w:r>
        <w:rPr>
          <w:rFonts w:ascii="Arial" w:hAnsi="Arial"/>
          <w:b w:val="0"/>
          <w:i w:val="0"/>
          <w:color w:val="000000"/>
          <w:sz w:val="21"/>
        </w:rPr>
        <w:t>The two-report proof is a useful integration result but not a production reliability study. [E4][E5]</w:t>
      </w:r>
    </w:p>
    <w:p>
      <w:pPr>
        <w:pStyle w:val="Heading1"/>
      </w:pPr>
      <w:r>
        <w:t>Priority actions</w:t>
      </w:r>
    </w:p>
    <w:p>
      <w:pPr>
        <w:spacing w:after="120" w:line="276" w:lineRule="auto"/>
      </w:pPr>
      <w:r>
        <w:rPr>
          <w:rFonts w:ascii="Arial" w:hAnsi="Arial"/>
          <w:b w:val="0"/>
          <w:i w:val="0"/>
          <w:color w:val="000000"/>
          <w:sz w:val="21"/>
        </w:rPr>
        <w:t>Add independently reviewed No and Insufficient Evidence labels; calibrate CRAG; compare chunk/retrieval variants under a frozen test; evaluate claim entailment and contradiction handling.</w:t>
      </w:r>
    </w:p>
    <w:p>
      <w:pPr>
        <w:pStyle w:val="Heading1"/>
      </w:pPr>
      <w:r>
        <w:t>Observed Qwen3 decision errors</w:t>
      </w:r>
    </w:p>
    <w:tbl>
      <w:tblPr>
        <w:tblStyle w:val="TableGrid"/>
        <w:tblW w:type="dxa" w:w="9810"/>
        <w:tblLayout w:type="fixed"/>
        <w:tblLook w:firstColumn="1" w:firstRow="1" w:lastColumn="0" w:lastRow="0" w:noHBand="0" w:noVBand="1" w:val="04A0"/>
        <w:tblInd w:w="120" w:type="dxa"/>
      </w:tblPr>
      <w:tblGrid>
        <w:gridCol w:w="1850"/>
        <w:gridCol w:w="1900"/>
        <w:gridCol w:w="1900"/>
        <w:gridCol w:w="4160"/>
      </w:tblGrid>
      <w:tr>
        <w:tc>
          <w:tcPr>
            <w:tcW w:type="dxa" w:w="1850"/>
            <w:vAlign w:val="center"/>
            <w:tcMar>
              <w:top w:w="80" w:type="dxa"/>
              <w:start w:w="120" w:type="dxa"/>
              <w:bottom w:w="80" w:type="dxa"/>
              <w:end w:w="120" w:type="dxa"/>
            </w:tcMar>
          </w:tcPr>
          <w:p>
            <w:pPr>
              <w:spacing w:after="20"/>
            </w:pPr>
            <w:r/>
            <w:r>
              <w:rPr>
                <w:rFonts w:ascii="Arial" w:hAnsi="Arial"/>
                <w:b/>
                <w:i w:val="0"/>
                <w:color w:val="000000"/>
                <w:sz w:val="18"/>
              </w:rPr>
              <w:t>Gold class</w:t>
            </w:r>
          </w:p>
        </w:tc>
        <w:tc>
          <w:tcPr>
            <w:tcW w:type="dxa" w:w="1900"/>
            <w:vAlign w:val="center"/>
            <w:tcMar>
              <w:top w:w="80" w:type="dxa"/>
              <w:start w:w="120" w:type="dxa"/>
              <w:bottom w:w="80" w:type="dxa"/>
              <w:end w:w="120" w:type="dxa"/>
            </w:tcMar>
          </w:tcPr>
          <w:p>
            <w:pPr>
              <w:spacing w:after="20"/>
            </w:pPr>
            <w:r/>
            <w:r>
              <w:rPr>
                <w:rFonts w:ascii="Arial" w:hAnsi="Arial"/>
                <w:b/>
                <w:i w:val="0"/>
                <w:color w:val="000000"/>
                <w:sz w:val="18"/>
              </w:rPr>
              <w:t>Predicted Yes</w:t>
            </w:r>
          </w:p>
        </w:tc>
        <w:tc>
          <w:tcPr>
            <w:tcW w:type="dxa" w:w="1900"/>
            <w:vAlign w:val="center"/>
            <w:tcMar>
              <w:top w:w="80" w:type="dxa"/>
              <w:start w:w="120" w:type="dxa"/>
              <w:bottom w:w="80" w:type="dxa"/>
              <w:end w:w="120" w:type="dxa"/>
            </w:tcMar>
          </w:tcPr>
          <w:p>
            <w:pPr>
              <w:spacing w:after="20"/>
            </w:pPr>
            <w:r/>
            <w:r>
              <w:rPr>
                <w:rFonts w:ascii="Arial" w:hAnsi="Arial"/>
                <w:b/>
                <w:i w:val="0"/>
                <w:color w:val="000000"/>
                <w:sz w:val="18"/>
              </w:rPr>
              <w:t>Predicted No</w:t>
            </w:r>
          </w:p>
        </w:tc>
        <w:tc>
          <w:tcPr>
            <w:tcW w:type="dxa" w:w="4160"/>
            <w:vAlign w:val="center"/>
            <w:tcMar>
              <w:top w:w="80" w:type="dxa"/>
              <w:start w:w="120" w:type="dxa"/>
              <w:bottom w:w="80" w:type="dxa"/>
              <w:end w:w="120" w:type="dxa"/>
            </w:tcMar>
          </w:tcPr>
          <w:p>
            <w:pPr>
              <w:spacing w:after="20"/>
            </w:pPr>
            <w:r/>
            <w:r>
              <w:rPr>
                <w:rFonts w:ascii="Arial" w:hAnsi="Arial"/>
                <w:b/>
                <w:i w:val="0"/>
                <w:color w:val="000000"/>
                <w:sz w:val="18"/>
              </w:rPr>
              <w:t>Interpretation</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Yes (n=12)</w:t>
            </w:r>
          </w:p>
        </w:tc>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12</w:t>
            </w:r>
          </w:p>
        </w:tc>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0</w:t>
            </w:r>
          </w:p>
        </w:tc>
        <w:tc>
          <w:tcPr>
            <w:tcW w:type="dxa" w:w="4160"/>
            <w:vAlign w:val="center"/>
            <w:tcMar>
              <w:top w:w="80" w:type="dxa"/>
              <w:start w:w="120" w:type="dxa"/>
              <w:bottom w:w="80" w:type="dxa"/>
              <w:end w:w="120" w:type="dxa"/>
            </w:tcMar>
          </w:tcPr>
          <w:p>
            <w:pPr>
              <w:spacing w:after="20" w:line="252" w:lineRule="auto"/>
            </w:pPr>
            <w:r/>
            <w:r>
              <w:rPr>
                <w:rFonts w:ascii="Arial" w:hAnsi="Arial"/>
                <w:b w:val="0"/>
                <w:i w:val="0"/>
                <w:color w:val="000000"/>
                <w:sz w:val="18"/>
              </w:rPr>
              <w:t>The run captured all source-derived positive labels.</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No (n=4)</w:t>
            </w:r>
          </w:p>
        </w:tc>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3</w:t>
            </w:r>
          </w:p>
        </w:tc>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1</w:t>
            </w:r>
          </w:p>
        </w:tc>
        <w:tc>
          <w:tcPr>
            <w:tcW w:type="dxa" w:w="4160"/>
            <w:vAlign w:val="center"/>
            <w:tcMar>
              <w:top w:w="80" w:type="dxa"/>
              <w:start w:w="120" w:type="dxa"/>
              <w:bottom w:w="80" w:type="dxa"/>
              <w:end w:w="120" w:type="dxa"/>
            </w:tcMar>
          </w:tcPr>
          <w:p>
            <w:pPr>
              <w:spacing w:after="20" w:line="252" w:lineRule="auto"/>
            </w:pPr>
            <w:r/>
            <w:r>
              <w:rPr>
                <w:rFonts w:ascii="Arial" w:hAnsi="Arial"/>
                <w:b w:val="0"/>
                <w:i w:val="0"/>
                <w:color w:val="000000"/>
                <w:sz w:val="18"/>
              </w:rPr>
              <w:t>Negative claims are the primary observed failure mode.</w:t>
            </w:r>
          </w:p>
        </w:tc>
      </w:tr>
      <w:tr>
        <w:tc>
          <w:tcPr>
            <w:tcW w:type="dxa" w:w="1850"/>
            <w:vAlign w:val="center"/>
            <w:tcMar>
              <w:top w:w="80" w:type="dxa"/>
              <w:start w:w="120" w:type="dxa"/>
              <w:bottom w:w="80" w:type="dxa"/>
              <w:end w:w="120" w:type="dxa"/>
            </w:tcMar>
          </w:tcPr>
          <w:p>
            <w:pPr>
              <w:spacing w:after="20" w:line="252" w:lineRule="auto"/>
            </w:pPr>
            <w:r/>
            <w:r>
              <w:rPr>
                <w:rFonts w:ascii="Arial" w:hAnsi="Arial"/>
                <w:b w:val="0"/>
                <w:i w:val="0"/>
                <w:color w:val="000000"/>
                <w:sz w:val="18"/>
              </w:rPr>
              <w:t>Insufficient Evidence (n=0)</w:t>
            </w:r>
          </w:p>
        </w:tc>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0</w:t>
            </w:r>
          </w:p>
        </w:tc>
        <w:tc>
          <w:tcPr>
            <w:tcW w:type="dxa" w:w="1900"/>
            <w:vAlign w:val="center"/>
            <w:tcMar>
              <w:top w:w="80" w:type="dxa"/>
              <w:start w:w="120" w:type="dxa"/>
              <w:bottom w:w="80" w:type="dxa"/>
              <w:end w:w="120" w:type="dxa"/>
            </w:tcMar>
          </w:tcPr>
          <w:p>
            <w:pPr>
              <w:spacing w:after="20" w:line="252" w:lineRule="auto"/>
            </w:pPr>
            <w:r/>
            <w:r>
              <w:rPr>
                <w:rFonts w:ascii="Arial" w:hAnsi="Arial"/>
                <w:b w:val="0"/>
                <w:i w:val="0"/>
                <w:color w:val="000000"/>
                <w:sz w:val="18"/>
              </w:rPr>
              <w:t>0</w:t>
            </w:r>
          </w:p>
        </w:tc>
        <w:tc>
          <w:tcPr>
            <w:tcW w:type="dxa" w:w="4160"/>
            <w:vAlign w:val="center"/>
            <w:tcMar>
              <w:top w:w="80" w:type="dxa"/>
              <w:start w:w="120" w:type="dxa"/>
              <w:bottom w:w="80" w:type="dxa"/>
              <w:end w:w="120" w:type="dxa"/>
            </w:tcMar>
          </w:tcPr>
          <w:p>
            <w:pPr>
              <w:spacing w:after="20" w:line="252" w:lineRule="auto"/>
            </w:pPr>
            <w:r/>
            <w:r>
              <w:rPr>
                <w:rFonts w:ascii="Arial" w:hAnsi="Arial"/>
                <w:b w:val="0"/>
                <w:i w:val="0"/>
                <w:color w:val="000000"/>
                <w:sz w:val="18"/>
              </w:rPr>
              <w:t>Abstention quality cannot be estimated from this set.</w:t>
            </w:r>
          </w:p>
        </w:tc>
      </w:tr>
    </w:tbl>
    <w:p>
      <w:pPr>
        <w:spacing w:after="20"/>
      </w:pPr>
    </w:p>
    <w:p>
      <w:pPr>
        <w:pStyle w:val="Heading1"/>
      </w:pPr>
      <w:r>
        <w:t>Error-analysis conclusion</w:t>
      </w:r>
    </w:p>
    <w:p>
      <w:pPr>
        <w:spacing w:after="120" w:line="276" w:lineRule="auto"/>
      </w:pPr>
      <w:r>
        <w:rPr>
          <w:rFonts w:ascii="Arial" w:hAnsi="Arial"/>
          <w:b w:val="0"/>
          <w:i w:val="0"/>
          <w:color w:val="000000"/>
          <w:sz w:val="21"/>
        </w:rPr>
        <w:t>The 81.25% headline accuracy must be read together with the confusion matrix. The model's 100% recall on Yes is encouraging for this POC, but No recall is only 25%; the system tends to convert absence/negative statements into a positive conclusion. Macro-F1 of 0.4296 captures this imbalance better than accuracy alone. [E5]</w:t>
      </w:r>
    </w:p>
    <w:p>
      <w:pPr>
        <w:spacing w:after="120" w:line="276" w:lineRule="auto"/>
      </w:pPr>
      <w:r>
        <w:rPr>
          <w:rFonts w:ascii="Arial" w:hAnsi="Arial"/>
          <w:b w:val="0"/>
          <w:i w:val="0"/>
          <w:color w:val="000000"/>
          <w:sz w:val="21"/>
        </w:rPr>
        <w:t>The correct response is not to hide the failure in an aggregate score. The next dataset should deliberately include negative, contradiction and missing-evidence questions with independent labels, while retrieval and prompt changes are tested against that frozen set. [E10]</w:t>
      </w:r>
    </w:p>
    <w:p>
      <w:pPr>
        <w:pStyle w:val="Heading1"/>
      </w:pPr>
      <w:r>
        <w:t>Prioritised remediation plan</w:t>
      </w:r>
    </w:p>
    <w:p>
      <w:pPr>
        <w:spacing w:after="120" w:line="276" w:lineRule="auto"/>
      </w:pPr>
      <w:r>
        <w:rPr>
          <w:rFonts w:ascii="Arial" w:hAnsi="Arial"/>
          <w:b w:val="0"/>
          <w:i w:val="0"/>
          <w:color w:val="000000"/>
          <w:sz w:val="21"/>
        </w:rPr>
        <w:t>Priority one is negative and absence-sensitive reasoning. The three false-positive No cases show that the generator needs evidence that positively establishes a universal claim such as all findings being closed; the absence of a contradiction must not become a Yes. This should be addressed through new labels, prompt tests and claim-level verification. [E5][E8]</w:t>
      </w:r>
    </w:p>
    <w:p>
      <w:pPr>
        <w:spacing w:after="120" w:line="276" w:lineRule="auto"/>
      </w:pPr>
      <w:r>
        <w:rPr>
          <w:rFonts w:ascii="Arial" w:hAnsi="Arial"/>
          <w:b w:val="0"/>
          <w:i w:val="0"/>
          <w:color w:val="000000"/>
          <w:sz w:val="21"/>
        </w:rPr>
        <w:t>Priority two is retrieval ordering. With MRR 0.2781, the relevant evidence is often available but buried below competing content. Reranking should be tested as one isolated variable on a re-labelled evidence benchmark, rather than enabled as an unmeasured architecture embellishment. [E5][E10]</w:t>
      </w:r>
    </w:p>
    <w:p>
      <w:pPr>
        <w:spacing w:after="120" w:line="276" w:lineRule="auto"/>
      </w:pPr>
      <w:r>
        <w:rPr>
          <w:rFonts w:ascii="Arial" w:hAnsi="Arial"/>
          <w:b w:val="0"/>
          <w:i w:val="0"/>
          <w:color w:val="000000"/>
          <w:sz w:val="21"/>
        </w:rPr>
        <w:t>Priority three is abstention. The schema supports Insufficient Evidence, but its safety cannot be measured until that class exists in the gold data. Completion of this data work is the release-gate requirement; it is not something an attractive accuracy score can substitute. [E10]</w:t>
      </w:r>
    </w:p>
    <w:p>
      <w:pPr>
        <w:pStyle w:val="Heading1"/>
      </w:pPr>
      <w:r>
        <w:t>Repository evidence cited</w:t>
      </w:r>
    </w:p>
    <w:p>
      <w:pPr>
        <w:pStyle w:val="ListBullet"/>
        <w:spacing w:after="60" w:line="264" w:lineRule="auto"/>
      </w:pPr>
      <w:r>
        <w:rPr>
          <w:rFonts w:ascii="Arial" w:hAnsi="Arial"/>
          <w:b w:val="0"/>
          <w:i w:val="0"/>
          <w:color w:val="000000"/>
          <w:sz w:val="20"/>
        </w:rPr>
        <w:t>[E4] results/production_real_reports/1787846335_de0ded86a7db/run_config.json and run.log: two-report production-parser run configuration and execution log.</w:t>
      </w:r>
    </w:p>
    <w:p>
      <w:pPr>
        <w:pStyle w:val="ListBullet"/>
        <w:spacing w:after="60" w:line="264" w:lineRule="auto"/>
      </w:pPr>
      <w:r>
        <w:rPr>
          <w:rFonts w:ascii="Arial" w:hAnsi="Arial"/>
          <w:b w:val="0"/>
          <w:i w:val="0"/>
          <w:color w:val="000000"/>
          <w:sz w:val="20"/>
        </w:rPr>
        <w:t>[E5] results/production_real_reports/1787846335_de0ded86a7db/{retrieval_metrics,question_level_llm_metrics,sota_faithfulness_metrics,audit_level_scores}.json: scored metrics and audit decisions.</w:t>
      </w:r>
    </w:p>
    <w:p>
      <w:pPr>
        <w:pStyle w:val="ListBullet"/>
        <w:spacing w:after="60" w:line="264" w:lineRule="auto"/>
      </w:pPr>
      <w:r>
        <w:rPr>
          <w:rFonts w:ascii="Arial" w:hAnsi="Arial"/>
          <w:b w:val="0"/>
          <w:i w:val="0"/>
          <w:color w:val="000000"/>
          <w:sz w:val="20"/>
        </w:rPr>
        <w:t>[E10] results/final_validation/VALIDATION_SUMMARY.md and its cited run directories: controlled local LLM, ICL, prompt, retrieval, CRAG, chunking and chunk-parameter comparisons completed 28 August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000000"/>
        <w:sz w:val="17"/>
      </w:rPr>
      <w:t>D10 Results and Error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val="0"/>
        <w:i w:val="0"/>
        <w:color w:val="000000"/>
        <w:sz w:val="17"/>
      </w:rPr>
      <w:t>Objective 3 | AI-Based Cyber Security Audit Assessment Against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