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000000"/>
          <w:sz w:val="44"/>
        </w:rPr>
        <w:t>D11. Integrated Proof of Concept</w:t>
      </w:r>
    </w:p>
    <w:p>
      <w:pPr>
        <w:spacing w:after="280"/>
      </w:pPr>
      <w:r>
        <w:rPr>
          <w:rFonts w:ascii="Arial" w:hAnsi="Arial"/>
          <w:b w:val="0"/>
          <w:i/>
          <w:color w:val="000000"/>
          <w:sz w:val="22"/>
        </w:rPr>
        <w:t>End-to-end benchmark-based assessment demonstration using supplied audit reports.</w:t>
      </w:r>
    </w:p>
    <w:tbl>
      <w:tblPr>
        <w:tblStyle w:val="TableGrid"/>
        <w:tblW w:type="dxa" w:w="9360"/>
        <w:tblLayout w:type="fixed"/>
        <w:tblLook w:firstColumn="1" w:firstRow="1" w:lastColumn="0" w:lastRow="0" w:noHBand="0" w:noVBand="1" w:val="04A0"/>
        <w:tblInd w:w="120" w:type="dxa"/>
      </w:tblPr>
      <w:tblGrid>
        <w:gridCol w:w="1850"/>
        <w:gridCol w:w="7510"/>
      </w:tblGrid>
      <w:tr>
        <w:tc>
          <w:tcPr>
            <w:tcW w:type="dxa" w:w="1850"/>
            <w:vAlign w:val="center"/>
            <w:tcMar>
              <w:top w:w="80" w:type="dxa"/>
              <w:start w:w="120" w:type="dxa"/>
              <w:bottom w:w="80" w:type="dxa"/>
              <w:end w:w="120" w:type="dxa"/>
            </w:tcMar>
          </w:tcPr>
          <w:p>
            <w:pPr>
              <w:spacing w:after="20"/>
            </w:pPr>
            <w:r/>
            <w:r>
              <w:rPr>
                <w:rFonts w:ascii="Arial" w:hAnsi="Arial"/>
                <w:b/>
                <w:i w:val="0"/>
                <w:color w:val="000000"/>
                <w:sz w:val="18"/>
              </w:rPr>
              <w:t>Field</w:t>
            </w:r>
          </w:p>
        </w:tc>
        <w:tc>
          <w:tcPr>
            <w:tcW w:type="dxa" w:w="7510"/>
            <w:vAlign w:val="center"/>
            <w:tcMar>
              <w:top w:w="80" w:type="dxa"/>
              <w:start w:w="120" w:type="dxa"/>
              <w:bottom w:w="80" w:type="dxa"/>
              <w:end w:w="120" w:type="dxa"/>
            </w:tcMar>
          </w:tcPr>
          <w:p>
            <w:pPr>
              <w:spacing w:after="20"/>
            </w:pPr>
            <w:r/>
            <w:r>
              <w:rPr>
                <w:rFonts w:ascii="Arial" w:hAnsi="Arial"/>
                <w:b/>
                <w:i w:val="0"/>
                <w:color w:val="000000"/>
                <w:sz w:val="18"/>
              </w:rPr>
              <w:t>Value</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Project</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Development of AI-Based Cyber Security Audit Assessment Against Benchmark</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Scope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Objective 3; secure local/air-gapped RAG proof of concept</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 date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28 August 2026</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Evidence rule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Implemented, tested and untested claims are labelled separately.</w:t>
            </w:r>
          </w:p>
        </w:tc>
      </w:tr>
    </w:tbl>
    <w:p>
      <w:pPr>
        <w:spacing w:after="20"/>
      </w:pPr>
    </w:p>
    <w:p>
      <w:pPr>
        <w:pStyle w:val="Heading1"/>
      </w:pPr>
      <w:r>
        <w:t>Demonstration acceptance trail</w:t>
      </w:r>
    </w:p>
    <w:tbl>
      <w:tblPr>
        <w:tblStyle w:val="TableGrid"/>
        <w:tblW w:type="dxa" w:w="9360"/>
        <w:tblLayout w:type="fixed"/>
        <w:tblLook w:firstColumn="1" w:firstRow="1" w:lastColumn="0" w:lastRow="0" w:noHBand="0" w:noVBand="1" w:val="04A0"/>
        <w:tblInd w:w="120" w:type="dxa"/>
      </w:tblPr>
      <w:tblGrid>
        <w:gridCol w:w="2000"/>
        <w:gridCol w:w="4700"/>
        <w:gridCol w:w="2660"/>
      </w:tblGrid>
      <w:tr>
        <w:tc>
          <w:tcPr>
            <w:tcW w:type="dxa" w:w="2000"/>
            <w:vAlign w:val="center"/>
            <w:tcMar>
              <w:top w:w="80" w:type="dxa"/>
              <w:start w:w="120" w:type="dxa"/>
              <w:bottom w:w="80" w:type="dxa"/>
              <w:end w:w="120" w:type="dxa"/>
            </w:tcMar>
          </w:tcPr>
          <w:p>
            <w:pPr>
              <w:spacing w:after="20"/>
            </w:pPr>
            <w:r/>
            <w:r>
              <w:rPr>
                <w:rFonts w:ascii="Arial" w:hAnsi="Arial"/>
                <w:b/>
                <w:i w:val="0"/>
                <w:color w:val="000000"/>
                <w:sz w:val="18"/>
              </w:rPr>
              <w:t>Proof step</w:t>
            </w:r>
          </w:p>
        </w:tc>
        <w:tc>
          <w:tcPr>
            <w:tcW w:type="dxa" w:w="4700"/>
            <w:vAlign w:val="center"/>
            <w:tcMar>
              <w:top w:w="80" w:type="dxa"/>
              <w:start w:w="120" w:type="dxa"/>
              <w:bottom w:w="80" w:type="dxa"/>
              <w:end w:w="120" w:type="dxa"/>
            </w:tcMar>
          </w:tcPr>
          <w:p>
            <w:pPr>
              <w:spacing w:after="20"/>
            </w:pPr>
            <w:r/>
            <w:r>
              <w:rPr>
                <w:rFonts w:ascii="Arial" w:hAnsi="Arial"/>
                <w:b/>
                <w:i w:val="0"/>
                <w:color w:val="000000"/>
                <w:sz w:val="18"/>
              </w:rPr>
              <w:t>Evidence produced</w:t>
            </w:r>
          </w:p>
        </w:tc>
        <w:tc>
          <w:tcPr>
            <w:tcW w:type="dxa" w:w="2660"/>
            <w:vAlign w:val="center"/>
            <w:tcMar>
              <w:top w:w="80" w:type="dxa"/>
              <w:start w:w="120" w:type="dxa"/>
              <w:bottom w:w="80" w:type="dxa"/>
              <w:end w:w="120" w:type="dxa"/>
            </w:tcMar>
          </w:tcPr>
          <w:p>
            <w:pPr>
              <w:spacing w:after="20"/>
            </w:pPr>
            <w:r/>
            <w:r>
              <w:rPr>
                <w:rFonts w:ascii="Arial" w:hAnsi="Arial"/>
                <w:b/>
                <w:i w:val="0"/>
                <w:color w:val="000000"/>
                <w:sz w:val="18"/>
              </w:rPr>
              <w:t>Completion</w:t>
            </w:r>
          </w:p>
        </w:tc>
      </w:tr>
      <w:tr>
        <w:tc>
          <w:tcPr>
            <w:tcW w:type="dxa" w:w="2000"/>
            <w:vAlign w:val="center"/>
            <w:tcMar>
              <w:top w:w="80" w:type="dxa"/>
              <w:start w:w="120" w:type="dxa"/>
              <w:bottom w:w="80" w:type="dxa"/>
              <w:end w:w="120" w:type="dxa"/>
            </w:tcMar>
          </w:tcPr>
          <w:p>
            <w:pPr>
              <w:spacing w:after="20" w:line="252" w:lineRule="auto"/>
            </w:pPr>
            <w:r/>
            <w:r>
              <w:rPr>
                <w:rFonts w:ascii="Arial" w:hAnsi="Arial"/>
                <w:b w:val="0"/>
                <w:i w:val="0"/>
                <w:color w:val="000000"/>
                <w:sz w:val="18"/>
              </w:rPr>
              <w:t>Load two reports</w:t>
            </w:r>
          </w:p>
        </w:tc>
        <w:tc>
          <w:tcPr>
            <w:tcW w:type="dxa" w:w="4700"/>
            <w:vAlign w:val="center"/>
            <w:tcMar>
              <w:top w:w="80" w:type="dxa"/>
              <w:start w:w="120" w:type="dxa"/>
              <w:bottom w:w="80" w:type="dxa"/>
              <w:end w:w="120" w:type="dxa"/>
            </w:tcMar>
          </w:tcPr>
          <w:p>
            <w:pPr>
              <w:spacing w:after="20" w:line="252" w:lineRule="auto"/>
            </w:pPr>
            <w:r/>
            <w:r>
              <w:rPr>
                <w:rFonts w:ascii="Arial" w:hAnsi="Arial"/>
                <w:b w:val="0"/>
                <w:i w:val="0"/>
                <w:color w:val="000000"/>
                <w:sz w:val="18"/>
              </w:rPr>
              <w:t>Source hashes and 22 chunks</w:t>
            </w:r>
          </w:p>
        </w:tc>
        <w:tc>
          <w:tcPr>
            <w:tcW w:type="dxa" w:w="2660"/>
            <w:vAlign w:val="center"/>
            <w:tcMar>
              <w:top w:w="80" w:type="dxa"/>
              <w:start w:w="120" w:type="dxa"/>
              <w:bottom w:w="80" w:type="dxa"/>
              <w:end w:w="120" w:type="dxa"/>
            </w:tcMar>
          </w:tcPr>
          <w:p>
            <w:pPr>
              <w:spacing w:after="20" w:line="252" w:lineRule="auto"/>
            </w:pPr>
            <w:r/>
            <w:r>
              <w:rPr>
                <w:rFonts w:ascii="Arial" w:hAnsi="Arial"/>
                <w:b w:val="0"/>
                <w:i w:val="0"/>
                <w:color w:val="000000"/>
                <w:sz w:val="18"/>
              </w:rPr>
              <w:t>Completed [E4]</w:t>
            </w:r>
          </w:p>
        </w:tc>
      </w:tr>
      <w:tr>
        <w:tc>
          <w:tcPr>
            <w:tcW w:type="dxa" w:w="2000"/>
            <w:vAlign w:val="center"/>
            <w:tcMar>
              <w:top w:w="80" w:type="dxa"/>
              <w:start w:w="120" w:type="dxa"/>
              <w:bottom w:w="80" w:type="dxa"/>
              <w:end w:w="120" w:type="dxa"/>
            </w:tcMar>
          </w:tcPr>
          <w:p>
            <w:pPr>
              <w:spacing w:after="20" w:line="252" w:lineRule="auto"/>
            </w:pPr>
            <w:r/>
            <w:r>
              <w:rPr>
                <w:rFonts w:ascii="Arial" w:hAnsi="Arial"/>
                <w:b w:val="0"/>
                <w:i w:val="0"/>
                <w:color w:val="000000"/>
                <w:sz w:val="18"/>
              </w:rPr>
              <w:t>Ask benchmark questions</w:t>
            </w:r>
          </w:p>
        </w:tc>
        <w:tc>
          <w:tcPr>
            <w:tcW w:type="dxa" w:w="4700"/>
            <w:vAlign w:val="center"/>
            <w:tcMar>
              <w:top w:w="80" w:type="dxa"/>
              <w:start w:w="120" w:type="dxa"/>
              <w:bottom w:w="80" w:type="dxa"/>
              <w:end w:w="120" w:type="dxa"/>
            </w:tcMar>
          </w:tcPr>
          <w:p>
            <w:pPr>
              <w:spacing w:after="20" w:line="252" w:lineRule="auto"/>
            </w:pPr>
            <w:r/>
            <w:r>
              <w:rPr>
                <w:rFonts w:ascii="Arial" w:hAnsi="Arial"/>
                <w:b w:val="0"/>
                <w:i w:val="0"/>
                <w:color w:val="000000"/>
                <w:sz w:val="18"/>
              </w:rPr>
              <w:t>16 structured question-level records</w:t>
            </w:r>
          </w:p>
        </w:tc>
        <w:tc>
          <w:tcPr>
            <w:tcW w:type="dxa" w:w="2660"/>
            <w:vAlign w:val="center"/>
            <w:tcMar>
              <w:top w:w="80" w:type="dxa"/>
              <w:start w:w="120" w:type="dxa"/>
              <w:bottom w:w="80" w:type="dxa"/>
              <w:end w:w="120" w:type="dxa"/>
            </w:tcMar>
          </w:tcPr>
          <w:p>
            <w:pPr>
              <w:spacing w:after="20" w:line="252" w:lineRule="auto"/>
            </w:pPr>
            <w:r/>
            <w:r>
              <w:rPr>
                <w:rFonts w:ascii="Arial" w:hAnsi="Arial"/>
                <w:b w:val="0"/>
                <w:i w:val="0"/>
                <w:color w:val="000000"/>
                <w:sz w:val="18"/>
              </w:rPr>
              <w:t>Completed [E5]</w:t>
            </w:r>
          </w:p>
        </w:tc>
      </w:tr>
      <w:tr>
        <w:tc>
          <w:tcPr>
            <w:tcW w:type="dxa" w:w="2000"/>
            <w:vAlign w:val="center"/>
            <w:tcMar>
              <w:top w:w="80" w:type="dxa"/>
              <w:start w:w="120" w:type="dxa"/>
              <w:bottom w:w="80" w:type="dxa"/>
              <w:end w:w="120" w:type="dxa"/>
            </w:tcMar>
          </w:tcPr>
          <w:p>
            <w:pPr>
              <w:spacing w:after="20" w:line="252" w:lineRule="auto"/>
            </w:pPr>
            <w:r/>
            <w:r>
              <w:rPr>
                <w:rFonts w:ascii="Arial" w:hAnsi="Arial"/>
                <w:b w:val="0"/>
                <w:i w:val="0"/>
                <w:color w:val="000000"/>
                <w:sz w:val="18"/>
              </w:rPr>
              <w:t>Validate evidence</w:t>
            </w:r>
          </w:p>
        </w:tc>
        <w:tc>
          <w:tcPr>
            <w:tcW w:type="dxa" w:w="4700"/>
            <w:vAlign w:val="center"/>
            <w:tcMar>
              <w:top w:w="80" w:type="dxa"/>
              <w:start w:w="120" w:type="dxa"/>
              <w:bottom w:w="80" w:type="dxa"/>
              <w:end w:w="120" w:type="dxa"/>
            </w:tcMar>
          </w:tcPr>
          <w:p>
            <w:pPr>
              <w:spacing w:after="20" w:line="252" w:lineRule="auto"/>
            </w:pPr>
            <w:r/>
            <w:r>
              <w:rPr>
                <w:rFonts w:ascii="Arial" w:hAnsi="Arial"/>
                <w:b w:val="0"/>
                <w:i w:val="0"/>
                <w:color w:val="000000"/>
                <w:sz w:val="18"/>
              </w:rPr>
              <w:t>Grounding, CRAG and review fields</w:t>
            </w:r>
          </w:p>
        </w:tc>
        <w:tc>
          <w:tcPr>
            <w:tcW w:type="dxa" w:w="2660"/>
            <w:vAlign w:val="center"/>
            <w:tcMar>
              <w:top w:w="80" w:type="dxa"/>
              <w:start w:w="120" w:type="dxa"/>
              <w:bottom w:w="80" w:type="dxa"/>
              <w:end w:w="120" w:type="dxa"/>
            </w:tcMar>
          </w:tcPr>
          <w:p>
            <w:pPr>
              <w:spacing w:after="20" w:line="252" w:lineRule="auto"/>
            </w:pPr>
            <w:r/>
            <w:r>
              <w:rPr>
                <w:rFonts w:ascii="Arial" w:hAnsi="Arial"/>
                <w:b w:val="0"/>
                <w:i w:val="0"/>
                <w:color w:val="000000"/>
                <w:sz w:val="18"/>
              </w:rPr>
              <w:t>Completed [E5]</w:t>
            </w:r>
          </w:p>
        </w:tc>
      </w:tr>
      <w:tr>
        <w:tc>
          <w:tcPr>
            <w:tcW w:type="dxa" w:w="2000"/>
            <w:vAlign w:val="center"/>
            <w:tcMar>
              <w:top w:w="80" w:type="dxa"/>
              <w:start w:w="120" w:type="dxa"/>
              <w:bottom w:w="80" w:type="dxa"/>
              <w:end w:w="120" w:type="dxa"/>
            </w:tcMar>
          </w:tcPr>
          <w:p>
            <w:pPr>
              <w:spacing w:after="20" w:line="252" w:lineRule="auto"/>
            </w:pPr>
            <w:r/>
            <w:r>
              <w:rPr>
                <w:rFonts w:ascii="Arial" w:hAnsi="Arial"/>
                <w:b w:val="0"/>
                <w:i w:val="0"/>
                <w:color w:val="000000"/>
                <w:sz w:val="18"/>
              </w:rPr>
              <w:t>Aggregate score</w:t>
            </w:r>
          </w:p>
        </w:tc>
        <w:tc>
          <w:tcPr>
            <w:tcW w:type="dxa" w:w="4700"/>
            <w:vAlign w:val="center"/>
            <w:tcMar>
              <w:top w:w="80" w:type="dxa"/>
              <w:start w:w="120" w:type="dxa"/>
              <w:bottom w:w="80" w:type="dxa"/>
              <w:end w:w="120" w:type="dxa"/>
            </w:tcMar>
          </w:tcPr>
          <w:p>
            <w:pPr>
              <w:spacing w:after="20" w:line="252" w:lineRule="auto"/>
            </w:pPr>
            <w:r/>
            <w:r>
              <w:rPr>
                <w:rFonts w:ascii="Arial" w:hAnsi="Arial"/>
                <w:b w:val="0"/>
                <w:i w:val="0"/>
                <w:color w:val="000000"/>
                <w:sz w:val="18"/>
              </w:rPr>
              <w:t>2-REPORT 100%; 4-REPORT 87.5%</w:t>
            </w:r>
          </w:p>
        </w:tc>
        <w:tc>
          <w:tcPr>
            <w:tcW w:type="dxa" w:w="2660"/>
            <w:vAlign w:val="center"/>
            <w:tcMar>
              <w:top w:w="80" w:type="dxa"/>
              <w:start w:w="120" w:type="dxa"/>
              <w:bottom w:w="80" w:type="dxa"/>
              <w:end w:w="120" w:type="dxa"/>
            </w:tcMar>
          </w:tcPr>
          <w:p>
            <w:pPr>
              <w:spacing w:after="20" w:line="252" w:lineRule="auto"/>
            </w:pPr>
            <w:r/>
            <w:r>
              <w:rPr>
                <w:rFonts w:ascii="Arial" w:hAnsi="Arial"/>
                <w:b w:val="0"/>
                <w:i w:val="0"/>
                <w:color w:val="000000"/>
                <w:sz w:val="18"/>
              </w:rPr>
              <w:t>Completed [E5]</w:t>
            </w:r>
          </w:p>
        </w:tc>
      </w:tr>
      <w:tr>
        <w:tc>
          <w:tcPr>
            <w:tcW w:type="dxa" w:w="2000"/>
            <w:vAlign w:val="center"/>
            <w:tcMar>
              <w:top w:w="80" w:type="dxa"/>
              <w:start w:w="120" w:type="dxa"/>
              <w:bottom w:w="80" w:type="dxa"/>
              <w:end w:w="120" w:type="dxa"/>
            </w:tcMar>
          </w:tcPr>
          <w:p>
            <w:pPr>
              <w:spacing w:after="20" w:line="252" w:lineRule="auto"/>
            </w:pPr>
            <w:r/>
            <w:r>
              <w:rPr>
                <w:rFonts w:ascii="Arial" w:hAnsi="Arial"/>
                <w:b w:val="0"/>
                <w:i w:val="0"/>
                <w:color w:val="000000"/>
                <w:sz w:val="18"/>
              </w:rPr>
              <w:t>Prevent premature release</w:t>
            </w:r>
          </w:p>
        </w:tc>
        <w:tc>
          <w:tcPr>
            <w:tcW w:type="dxa" w:w="4700"/>
            <w:vAlign w:val="center"/>
            <w:tcMar>
              <w:top w:w="80" w:type="dxa"/>
              <w:start w:w="120" w:type="dxa"/>
              <w:bottom w:w="80" w:type="dxa"/>
              <w:end w:w="120" w:type="dxa"/>
            </w:tcMar>
          </w:tcPr>
          <w:p>
            <w:pPr>
              <w:spacing w:after="20" w:line="252" w:lineRule="auto"/>
            </w:pPr>
            <w:r/>
            <w:r>
              <w:rPr>
                <w:rFonts w:ascii="Arial" w:hAnsi="Arial"/>
                <w:b w:val="0"/>
                <w:i w:val="0"/>
                <w:color w:val="000000"/>
                <w:sz w:val="18"/>
              </w:rPr>
              <w:t>Production readiness gate BLOCKED</w:t>
            </w:r>
          </w:p>
        </w:tc>
        <w:tc>
          <w:tcPr>
            <w:tcW w:type="dxa" w:w="2660"/>
            <w:vAlign w:val="center"/>
            <w:tcMar>
              <w:top w:w="80" w:type="dxa"/>
              <w:start w:w="120" w:type="dxa"/>
              <w:bottom w:w="80" w:type="dxa"/>
              <w:end w:w="120" w:type="dxa"/>
            </w:tcMar>
          </w:tcPr>
          <w:p>
            <w:pPr>
              <w:spacing w:after="20" w:line="252" w:lineRule="auto"/>
            </w:pPr>
            <w:r/>
            <w:r>
              <w:rPr>
                <w:rFonts w:ascii="Arial" w:hAnsi="Arial"/>
                <w:b w:val="0"/>
                <w:i w:val="0"/>
                <w:color w:val="000000"/>
                <w:sz w:val="18"/>
              </w:rPr>
              <w:t>Completed [E10]</w:t>
            </w:r>
          </w:p>
        </w:tc>
      </w:tr>
    </w:tbl>
    <w:p>
      <w:pPr>
        <w:spacing w:after="20"/>
      </w:pPr>
    </w:p>
    <w:p>
      <w:pPr>
        <w:pStyle w:val="Heading1"/>
      </w:pPr>
      <w:r>
        <w:t>What the proof demonstrates</w:t>
      </w:r>
    </w:p>
    <w:p>
      <w:pPr>
        <w:spacing w:after="120" w:line="276" w:lineRule="auto"/>
      </w:pPr>
      <w:r>
        <w:rPr>
          <w:rFonts w:ascii="Arial" w:hAnsi="Arial"/>
          <w:b w:val="0"/>
          <w:i w:val="0"/>
          <w:color w:val="000000"/>
          <w:sz w:val="21"/>
        </w:rPr>
        <w:t>The POC demonstrates an auditable benchmark-assessment workflow from source report through retrieval to an aggregate result. The key contribution is not merely that a model can answer questions: every answer can be inspected together with the evidence, configuration and resulting score. [E4][E5]</w:t>
      </w:r>
    </w:p>
    <w:p>
      <w:pPr>
        <w:spacing w:after="120" w:line="276" w:lineRule="auto"/>
      </w:pPr>
      <w:r>
        <w:rPr>
          <w:rFonts w:ascii="Arial" w:hAnsi="Arial"/>
          <w:b w:val="0"/>
          <w:i w:val="0"/>
          <w:color w:val="000000"/>
          <w:sz w:val="21"/>
        </w:rPr>
        <w:t>It intentionally does not demonstrate a production system. The proof set is too small, visual evidence is outside scope, and the release gate therefore protects the integrity of the submission conclusion. [E8][E10]</w:t>
      </w:r>
    </w:p>
    <w:p>
      <w:pPr>
        <w:pStyle w:val="Heading1"/>
      </w:pPr>
      <w:r>
        <w:t>Demonstration objective</w:t>
      </w:r>
    </w:p>
    <w:p>
      <w:pPr>
        <w:spacing w:after="120" w:line="276" w:lineRule="auto"/>
      </w:pPr>
      <w:r>
        <w:rPr>
          <w:rFonts w:ascii="Arial" w:hAnsi="Arial"/>
          <w:b w:val="0"/>
          <w:i w:val="0"/>
          <w:color w:val="000000"/>
          <w:sz w:val="21"/>
        </w:rPr>
        <w:t>Demonstrate that the system can take an extracted cybersecurity audit report and benchmark questions, retrieve report evidence, issue structured decisions, and aggregate those decisions into an audit score with a reproducible trail. [E4][E5]</w:t>
      </w:r>
    </w:p>
    <w:p>
      <w:pPr>
        <w:spacing w:after="120" w:line="276" w:lineRule="auto"/>
      </w:pPr>
      <w:r>
        <w:rPr>
          <w:rFonts w:ascii="Arial" w:hAnsi="Arial"/>
          <w:b w:val="0"/>
          <w:i w:val="0"/>
          <w:color w:val="000000"/>
          <w:sz w:val="21"/>
        </w:rPr>
        <w:t>The demonstration uses two supplied JSON reports and not a synthetic substitute. It intentionally excludes image/figure context from the text-only submission scope. [E4][E6][E8]</w:t>
      </w:r>
    </w:p>
    <w:p>
      <w:pPr>
        <w:pStyle w:val="Heading1"/>
      </w:pPr>
      <w:r>
        <w:t>Demonstrated configuration</w:t>
      </w:r>
    </w:p>
    <w:tbl>
      <w:tblPr>
        <w:tblStyle w:val="TableGrid"/>
        <w:tblW w:type="dxa" w:w="9360"/>
        <w:tblLayout w:type="fixed"/>
        <w:tblLook w:firstColumn="1" w:firstRow="1" w:lastColumn="0" w:lastRow="0" w:noHBand="0" w:noVBand="1" w:val="04A0"/>
        <w:tblInd w:w="120" w:type="dxa"/>
      </w:tblPr>
      <w:tblGrid>
        <w:gridCol w:w="1400"/>
        <w:gridCol w:w="5000"/>
        <w:gridCol w:w="2960"/>
      </w:tblGrid>
      <w:tr>
        <w:tc>
          <w:tcPr>
            <w:tcW w:type="dxa" w:w="1400"/>
            <w:vAlign w:val="center"/>
            <w:tcMar>
              <w:top w:w="80" w:type="dxa"/>
              <w:start w:w="120" w:type="dxa"/>
              <w:bottom w:w="80" w:type="dxa"/>
              <w:end w:w="120" w:type="dxa"/>
            </w:tcMar>
          </w:tcPr>
          <w:p>
            <w:pPr>
              <w:spacing w:after="20"/>
            </w:pPr>
            <w:r/>
            <w:r>
              <w:rPr>
                <w:rFonts w:ascii="Arial" w:hAnsi="Arial"/>
                <w:b/>
                <w:i w:val="0"/>
                <w:color w:val="000000"/>
                <w:sz w:val="18"/>
              </w:rPr>
              <w:t>Stage</w:t>
            </w:r>
          </w:p>
        </w:tc>
        <w:tc>
          <w:tcPr>
            <w:tcW w:type="dxa" w:w="5000"/>
            <w:vAlign w:val="center"/>
            <w:tcMar>
              <w:top w:w="80" w:type="dxa"/>
              <w:start w:w="120" w:type="dxa"/>
              <w:bottom w:w="80" w:type="dxa"/>
              <w:end w:w="120" w:type="dxa"/>
            </w:tcMar>
          </w:tcPr>
          <w:p>
            <w:pPr>
              <w:spacing w:after="20"/>
            </w:pPr>
            <w:r/>
            <w:r>
              <w:rPr>
                <w:rFonts w:ascii="Arial" w:hAnsi="Arial"/>
                <w:b/>
                <w:i w:val="0"/>
                <w:color w:val="000000"/>
                <w:sz w:val="18"/>
              </w:rPr>
              <w:t>Proof configuration</w:t>
            </w:r>
          </w:p>
        </w:tc>
        <w:tc>
          <w:tcPr>
            <w:tcW w:type="dxa" w:w="2960"/>
            <w:vAlign w:val="center"/>
            <w:tcMar>
              <w:top w:w="80" w:type="dxa"/>
              <w:start w:w="120" w:type="dxa"/>
              <w:bottom w:w="80" w:type="dxa"/>
              <w:end w:w="120" w:type="dxa"/>
            </w:tcMar>
          </w:tcPr>
          <w:p>
            <w:pPr>
              <w:spacing w:after="20"/>
            </w:pPr>
            <w:r/>
            <w:r>
              <w:rPr>
                <w:rFonts w:ascii="Arial" w:hAnsi="Arial"/>
                <w:b/>
                <w:i w:val="0"/>
                <w:color w:val="000000"/>
                <w:sz w:val="18"/>
              </w:rPr>
              <w:t>Recorded result</w:t>
            </w:r>
          </w:p>
        </w:tc>
      </w:tr>
      <w:tr>
        <w:tc>
          <w:tcPr>
            <w:tcW w:type="dxa" w:w="1400"/>
            <w:vAlign w:val="center"/>
            <w:tcMar>
              <w:top w:w="80" w:type="dxa"/>
              <w:start w:w="120" w:type="dxa"/>
              <w:bottom w:w="80" w:type="dxa"/>
              <w:end w:w="120" w:type="dxa"/>
            </w:tcMar>
          </w:tcPr>
          <w:p>
            <w:pPr>
              <w:spacing w:after="20" w:line="252" w:lineRule="auto"/>
            </w:pPr>
            <w:r/>
            <w:r>
              <w:rPr>
                <w:rFonts w:ascii="Arial" w:hAnsi="Arial"/>
                <w:b w:val="0"/>
                <w:i w:val="0"/>
                <w:color w:val="000000"/>
                <w:sz w:val="18"/>
              </w:rPr>
              <w:t>Input</w:t>
            </w:r>
          </w:p>
        </w:tc>
        <w:tc>
          <w:tcPr>
            <w:tcW w:type="dxa" w:w="5000"/>
            <w:vAlign w:val="center"/>
            <w:tcMar>
              <w:top w:w="80" w:type="dxa"/>
              <w:start w:w="120" w:type="dxa"/>
              <w:bottom w:w="80" w:type="dxa"/>
              <w:end w:w="120" w:type="dxa"/>
            </w:tcMar>
          </w:tcPr>
          <w:p>
            <w:pPr>
              <w:spacing w:after="20" w:line="252" w:lineRule="auto"/>
            </w:pPr>
            <w:r/>
            <w:r>
              <w:rPr>
                <w:rFonts w:ascii="Arial" w:hAnsi="Arial"/>
                <w:b w:val="0"/>
                <w:i w:val="0"/>
                <w:color w:val="000000"/>
                <w:sz w:val="18"/>
              </w:rPr>
              <w:t>2-report.json and 4-report.json; eight questions each</w:t>
            </w:r>
          </w:p>
        </w:tc>
        <w:tc>
          <w:tcPr>
            <w:tcW w:type="dxa" w:w="2960"/>
            <w:vAlign w:val="center"/>
            <w:tcMar>
              <w:top w:w="80" w:type="dxa"/>
              <w:start w:w="120" w:type="dxa"/>
              <w:bottom w:w="80" w:type="dxa"/>
              <w:end w:w="120" w:type="dxa"/>
            </w:tcMar>
          </w:tcPr>
          <w:p>
            <w:pPr>
              <w:spacing w:after="20" w:line="252" w:lineRule="auto"/>
            </w:pPr>
            <w:r/>
            <w:r>
              <w:rPr>
                <w:rFonts w:ascii="Arial" w:hAnsi="Arial"/>
                <w:b w:val="0"/>
                <w:i w:val="0"/>
                <w:color w:val="000000"/>
                <w:sz w:val="18"/>
              </w:rPr>
              <w:t>16 report-question pairs [E4][E6]</w:t>
            </w:r>
          </w:p>
        </w:tc>
      </w:tr>
      <w:tr>
        <w:tc>
          <w:tcPr>
            <w:tcW w:type="dxa" w:w="1400"/>
            <w:vAlign w:val="center"/>
            <w:tcMar>
              <w:top w:w="80" w:type="dxa"/>
              <w:start w:w="120" w:type="dxa"/>
              <w:bottom w:w="80" w:type="dxa"/>
              <w:end w:w="120" w:type="dxa"/>
            </w:tcMar>
          </w:tcPr>
          <w:p>
            <w:pPr>
              <w:spacing w:after="20" w:line="252" w:lineRule="auto"/>
            </w:pPr>
            <w:r/>
            <w:r>
              <w:rPr>
                <w:rFonts w:ascii="Arial" w:hAnsi="Arial"/>
                <w:b w:val="0"/>
                <w:i w:val="0"/>
                <w:color w:val="000000"/>
                <w:sz w:val="18"/>
              </w:rPr>
              <w:t>Evidence index</w:t>
            </w:r>
          </w:p>
        </w:tc>
        <w:tc>
          <w:tcPr>
            <w:tcW w:type="dxa" w:w="5000"/>
            <w:vAlign w:val="center"/>
            <w:tcMar>
              <w:top w:w="80" w:type="dxa"/>
              <w:start w:w="120" w:type="dxa"/>
              <w:bottom w:w="80" w:type="dxa"/>
              <w:end w:w="120" w:type="dxa"/>
            </w:tcMar>
          </w:tcPr>
          <w:p>
            <w:pPr>
              <w:spacing w:after="20" w:line="252" w:lineRule="auto"/>
            </w:pPr>
            <w:r/>
            <w:r>
              <w:rPr>
                <w:rFonts w:ascii="Arial" w:hAnsi="Arial"/>
                <w:b w:val="0"/>
                <w:i w:val="0"/>
                <w:color w:val="000000"/>
                <w:sz w:val="18"/>
              </w:rPr>
              <w:t>22 structure-aware chunks; Qwen3 embedding; hybrid top-8 retrieval</w:t>
            </w:r>
          </w:p>
        </w:tc>
        <w:tc>
          <w:tcPr>
            <w:tcW w:type="dxa" w:w="2960"/>
            <w:vAlign w:val="center"/>
            <w:tcMar>
              <w:top w:w="80" w:type="dxa"/>
              <w:start w:w="120" w:type="dxa"/>
              <w:bottom w:w="80" w:type="dxa"/>
              <w:end w:w="120" w:type="dxa"/>
            </w:tcMar>
          </w:tcPr>
          <w:p>
            <w:pPr>
              <w:spacing w:after="20" w:line="252" w:lineRule="auto"/>
            </w:pPr>
            <w:r/>
            <w:r>
              <w:rPr>
                <w:rFonts w:ascii="Arial" w:hAnsi="Arial"/>
                <w:b w:val="0"/>
                <w:i w:val="0"/>
                <w:color w:val="000000"/>
                <w:sz w:val="18"/>
              </w:rPr>
              <w:t>Per-query evidence saved [E4][E5]</w:t>
            </w:r>
          </w:p>
        </w:tc>
      </w:tr>
      <w:tr>
        <w:tc>
          <w:tcPr>
            <w:tcW w:type="dxa" w:w="1400"/>
            <w:vAlign w:val="center"/>
            <w:tcMar>
              <w:top w:w="80" w:type="dxa"/>
              <w:start w:w="120" w:type="dxa"/>
              <w:bottom w:w="80" w:type="dxa"/>
              <w:end w:w="120" w:type="dxa"/>
            </w:tcMar>
          </w:tcPr>
          <w:p>
            <w:pPr>
              <w:spacing w:after="20" w:line="252" w:lineRule="auto"/>
            </w:pPr>
            <w:r/>
            <w:r>
              <w:rPr>
                <w:rFonts w:ascii="Arial" w:hAnsi="Arial"/>
                <w:b w:val="0"/>
                <w:i w:val="0"/>
                <w:color w:val="000000"/>
                <w:sz w:val="18"/>
              </w:rPr>
              <w:t>Assessment</w:t>
            </w:r>
          </w:p>
        </w:tc>
        <w:tc>
          <w:tcPr>
            <w:tcW w:type="dxa" w:w="5000"/>
            <w:vAlign w:val="center"/>
            <w:tcMar>
              <w:top w:w="80" w:type="dxa"/>
              <w:start w:w="120" w:type="dxa"/>
              <w:bottom w:w="80" w:type="dxa"/>
              <w:end w:w="120" w:type="dxa"/>
            </w:tcMar>
          </w:tcPr>
          <w:p>
            <w:pPr>
              <w:spacing w:after="20" w:line="252" w:lineRule="auto"/>
            </w:pPr>
            <w:r/>
            <w:r>
              <w:rPr>
                <w:rFonts w:ascii="Arial" w:hAnsi="Arial"/>
                <w:b w:val="0"/>
                <w:i w:val="0"/>
                <w:color w:val="000000"/>
                <w:sz w:val="18"/>
              </w:rPr>
              <w:t>Qwen3-8B local Ollama; v2 prompt; schema enforcement; temperature 0</w:t>
            </w:r>
          </w:p>
        </w:tc>
        <w:tc>
          <w:tcPr>
            <w:tcW w:type="dxa" w:w="2960"/>
            <w:vAlign w:val="center"/>
            <w:tcMar>
              <w:top w:w="80" w:type="dxa"/>
              <w:start w:w="120" w:type="dxa"/>
              <w:bottom w:w="80" w:type="dxa"/>
              <w:end w:w="120" w:type="dxa"/>
            </w:tcMar>
          </w:tcPr>
          <w:p>
            <w:pPr>
              <w:spacing w:after="20" w:line="252" w:lineRule="auto"/>
            </w:pPr>
            <w:r/>
            <w:r>
              <w:rPr>
                <w:rFonts w:ascii="Arial" w:hAnsi="Arial"/>
                <w:b w:val="0"/>
                <w:i w:val="0"/>
                <w:color w:val="000000"/>
                <w:sz w:val="18"/>
              </w:rPr>
              <w:t>Answers and latencies saved [E4][E5]</w:t>
            </w:r>
          </w:p>
        </w:tc>
      </w:tr>
      <w:tr>
        <w:tc>
          <w:tcPr>
            <w:tcW w:type="dxa" w:w="1400"/>
            <w:vAlign w:val="center"/>
            <w:tcMar>
              <w:top w:w="80" w:type="dxa"/>
              <w:start w:w="120" w:type="dxa"/>
              <w:bottom w:w="80" w:type="dxa"/>
              <w:end w:w="120" w:type="dxa"/>
            </w:tcMar>
          </w:tcPr>
          <w:p>
            <w:pPr>
              <w:spacing w:after="20" w:line="252" w:lineRule="auto"/>
            </w:pPr>
            <w:r/>
            <w:r>
              <w:rPr>
                <w:rFonts w:ascii="Arial" w:hAnsi="Arial"/>
                <w:b w:val="0"/>
                <w:i w:val="0"/>
                <w:color w:val="000000"/>
                <w:sz w:val="18"/>
              </w:rPr>
              <w:t>Aggregation</w:t>
            </w:r>
          </w:p>
        </w:tc>
        <w:tc>
          <w:tcPr>
            <w:tcW w:type="dxa" w:w="5000"/>
            <w:vAlign w:val="center"/>
            <w:tcMar>
              <w:top w:w="80" w:type="dxa"/>
              <w:start w:w="120" w:type="dxa"/>
              <w:bottom w:w="80" w:type="dxa"/>
              <w:end w:w="120" w:type="dxa"/>
            </w:tcMar>
          </w:tcPr>
          <w:p>
            <w:pPr>
              <w:spacing w:after="20" w:line="252" w:lineRule="auto"/>
            </w:pPr>
            <w:r/>
            <w:r>
              <w:rPr>
                <w:rFonts w:ascii="Arial" w:hAnsi="Arial"/>
                <w:b w:val="0"/>
                <w:i w:val="0"/>
                <w:color w:val="000000"/>
                <w:sz w:val="18"/>
              </w:rPr>
              <w:t>70% pass threshold</w:t>
            </w:r>
          </w:p>
        </w:tc>
        <w:tc>
          <w:tcPr>
            <w:tcW w:type="dxa" w:w="2960"/>
            <w:vAlign w:val="center"/>
            <w:tcMar>
              <w:top w:w="80" w:type="dxa"/>
              <w:start w:w="120" w:type="dxa"/>
              <w:bottom w:w="80" w:type="dxa"/>
              <w:end w:w="120" w:type="dxa"/>
            </w:tcMar>
          </w:tcPr>
          <w:p>
            <w:pPr>
              <w:spacing w:after="20" w:line="252" w:lineRule="auto"/>
            </w:pPr>
            <w:r/>
            <w:r>
              <w:rPr>
                <w:rFonts w:ascii="Arial" w:hAnsi="Arial"/>
                <w:b w:val="0"/>
                <w:i w:val="0"/>
                <w:color w:val="000000"/>
                <w:sz w:val="18"/>
              </w:rPr>
              <w:t>Both reports produced PASS scores [E5]</w:t>
            </w:r>
          </w:p>
        </w:tc>
      </w:tr>
    </w:tbl>
    <w:p>
      <w:pPr>
        <w:spacing w:after="20"/>
      </w:pPr>
    </w:p>
    <w:p>
      <w:pPr>
        <w:pStyle w:val="Heading1"/>
      </w:pPr>
      <w:r>
        <w:t>Outcome</w:t>
      </w:r>
    </w:p>
    <w:p>
      <w:pPr>
        <w:spacing w:after="120" w:line="276" w:lineRule="auto"/>
      </w:pPr>
      <w:r>
        <w:rPr>
          <w:rFonts w:ascii="Arial" w:hAnsi="Arial"/>
          <w:b w:val="0"/>
          <w:i w:val="0"/>
          <w:color w:val="000000"/>
          <w:sz w:val="21"/>
        </w:rPr>
        <w:t>The run completed with no recorded execution errors. It achieved 81.25% answer accuracy, 87.50% Recall@8, 100% grounding under the implemented check, and 13.66-second mean latency. [E4][E5]</w:t>
      </w:r>
    </w:p>
    <w:p>
      <w:pPr>
        <w:spacing w:after="120" w:line="276" w:lineRule="auto"/>
      </w:pPr>
      <w:r>
        <w:rPr>
          <w:rFonts w:ascii="Arial" w:hAnsi="Arial"/>
          <w:b w:val="0"/>
          <w:i w:val="0"/>
          <w:color w:val="000000"/>
          <w:sz w:val="21"/>
        </w:rPr>
        <w:t>The reranker and claim verifier were disabled in this run to avoid competing with Qwen3-8B for the 6 GB laptop GPU. This is a documented hardware configuration, not evidence that those controls are unnecessary. [E4]</w:t>
      </w:r>
    </w:p>
    <w:p>
      <w:pPr>
        <w:pStyle w:val="Heading1"/>
      </w:pPr>
      <w:r>
        <w:t>Reproduction and verification</w:t>
      </w:r>
    </w:p>
    <w:p>
      <w:pPr>
        <w:spacing w:after="120" w:line="276" w:lineRule="auto"/>
      </w:pPr>
      <w:r>
        <w:rPr>
          <w:rFonts w:ascii="Arial" w:hAnsi="Arial"/>
          <w:b w:val="0"/>
          <w:i w:val="0"/>
          <w:color w:val="000000"/>
          <w:sz w:val="21"/>
        </w:rPr>
        <w:t>Saved live artifacts: results/production_real_reports/1787846335_de0ded86a7db/. Offline functional demonstration: from rag/src, run python test_harness_mock.py. Focused parser, routing/citation and release-gate tests passed on 28 August 2026. [E4][E7]</w:t>
      </w:r>
    </w:p>
    <w:p>
      <w:pPr>
        <w:spacing w:after="120" w:line="276" w:lineRule="auto"/>
      </w:pPr>
      <w:r>
        <w:rPr>
          <w:rFonts w:ascii="Arial" w:hAnsi="Arial"/>
          <w:b w:val="0"/>
          <w:i w:val="0"/>
          <w:color w:val="000000"/>
          <w:sz w:val="21"/>
        </w:rPr>
        <w:t>Reproduction of the live run also requires the stated local model weights and Ollama service; it should remain in the approved air-gapped environment. [E4]</w:t>
      </w:r>
    </w:p>
    <w:p>
      <w:pPr>
        <w:pStyle w:val="Heading1"/>
      </w:pPr>
      <w:r>
        <w:t>Proof boundary</w:t>
      </w:r>
    </w:p>
    <w:p>
      <w:pPr>
        <w:spacing w:after="120" w:line="276" w:lineRule="auto"/>
      </w:pPr>
      <w:r>
        <w:rPr>
          <w:rFonts w:ascii="Arial" w:hAnsi="Arial"/>
          <w:b w:val="0"/>
          <w:i w:val="0"/>
          <w:color w:val="000000"/>
          <w:sz w:val="21"/>
        </w:rPr>
        <w:t>This POC demonstrates an auditable integration path. It does not establish a production release, comparative model superiority, visual understanding, or generalisation beyond the two supplied reports.</w:t>
      </w:r>
    </w:p>
    <w:p>
      <w:pPr>
        <w:pStyle w:val="Heading1"/>
      </w:pPr>
      <w:r>
        <w:t>Observed report-level assessment</w:t>
      </w:r>
    </w:p>
    <w:tbl>
      <w:tblPr>
        <w:tblStyle w:val="TableGrid"/>
        <w:tblW w:type="dxa" w:w="9810"/>
        <w:tblLayout w:type="fixed"/>
        <w:tblLook w:firstColumn="1" w:firstRow="1" w:lastColumn="0" w:lastRow="0" w:noHBand="0" w:noVBand="1" w:val="04A0"/>
        <w:tblInd w:w="120" w:type="dxa"/>
      </w:tblPr>
      <w:tblGrid>
        <w:gridCol w:w="1650"/>
        <w:gridCol w:w="1050"/>
        <w:gridCol w:w="2500"/>
        <w:gridCol w:w="1300"/>
        <w:gridCol w:w="3310"/>
      </w:tblGrid>
      <w:tr>
        <w:tc>
          <w:tcPr>
            <w:tcW w:type="dxa" w:w="1650"/>
            <w:vAlign w:val="center"/>
            <w:tcMar>
              <w:top w:w="80" w:type="dxa"/>
              <w:start w:w="120" w:type="dxa"/>
              <w:bottom w:w="80" w:type="dxa"/>
              <w:end w:w="120" w:type="dxa"/>
            </w:tcMar>
          </w:tcPr>
          <w:p>
            <w:pPr>
              <w:spacing w:after="20"/>
            </w:pPr>
            <w:r/>
            <w:r>
              <w:rPr>
                <w:rFonts w:ascii="Arial" w:hAnsi="Arial"/>
                <w:b/>
                <w:i w:val="0"/>
                <w:color w:val="000000"/>
                <w:sz w:val="18"/>
              </w:rPr>
              <w:t>Report</w:t>
            </w:r>
          </w:p>
        </w:tc>
        <w:tc>
          <w:tcPr>
            <w:tcW w:type="dxa" w:w="1050"/>
            <w:vAlign w:val="center"/>
            <w:tcMar>
              <w:top w:w="80" w:type="dxa"/>
              <w:start w:w="120" w:type="dxa"/>
              <w:bottom w:w="80" w:type="dxa"/>
              <w:end w:w="120" w:type="dxa"/>
            </w:tcMar>
          </w:tcPr>
          <w:p>
            <w:pPr>
              <w:spacing w:after="20"/>
            </w:pPr>
            <w:r/>
            <w:r>
              <w:rPr>
                <w:rFonts w:ascii="Arial" w:hAnsi="Arial"/>
                <w:b/>
                <w:i w:val="0"/>
                <w:color w:val="000000"/>
                <w:sz w:val="18"/>
              </w:rPr>
              <w:t>Questions</w:t>
            </w:r>
          </w:p>
        </w:tc>
        <w:tc>
          <w:tcPr>
            <w:tcW w:type="dxa" w:w="2500"/>
            <w:vAlign w:val="center"/>
            <w:tcMar>
              <w:top w:w="80" w:type="dxa"/>
              <w:start w:w="120" w:type="dxa"/>
              <w:bottom w:w="80" w:type="dxa"/>
              <w:end w:w="120" w:type="dxa"/>
            </w:tcMar>
          </w:tcPr>
          <w:p>
            <w:pPr>
              <w:spacing w:after="20"/>
            </w:pPr>
            <w:r/>
            <w:r>
              <w:rPr>
                <w:rFonts w:ascii="Arial" w:hAnsi="Arial"/>
                <w:b/>
                <w:i w:val="0"/>
                <w:color w:val="000000"/>
                <w:sz w:val="18"/>
              </w:rPr>
              <w:t>Yes / No / Insufficient</w:t>
            </w:r>
          </w:p>
        </w:tc>
        <w:tc>
          <w:tcPr>
            <w:tcW w:type="dxa" w:w="1300"/>
            <w:vAlign w:val="center"/>
            <w:tcMar>
              <w:top w:w="80" w:type="dxa"/>
              <w:start w:w="120" w:type="dxa"/>
              <w:bottom w:w="80" w:type="dxa"/>
              <w:end w:w="120" w:type="dxa"/>
            </w:tcMar>
          </w:tcPr>
          <w:p>
            <w:pPr>
              <w:spacing w:after="20"/>
            </w:pPr>
            <w:r/>
            <w:r>
              <w:rPr>
                <w:rFonts w:ascii="Arial" w:hAnsi="Arial"/>
                <w:b/>
                <w:i w:val="0"/>
                <w:color w:val="000000"/>
                <w:sz w:val="18"/>
              </w:rPr>
              <w:t>Score</w:t>
            </w:r>
          </w:p>
        </w:tc>
        <w:tc>
          <w:tcPr>
            <w:tcW w:type="dxa" w:w="3310"/>
            <w:vAlign w:val="center"/>
            <w:tcMar>
              <w:top w:w="80" w:type="dxa"/>
              <w:start w:w="120" w:type="dxa"/>
              <w:bottom w:w="80" w:type="dxa"/>
              <w:end w:w="120" w:type="dxa"/>
            </w:tcMar>
          </w:tcPr>
          <w:p>
            <w:pPr>
              <w:spacing w:after="20"/>
            </w:pPr>
            <w:r/>
            <w:r>
              <w:rPr>
                <w:rFonts w:ascii="Arial" w:hAnsi="Arial"/>
                <w:b/>
                <w:i w:val="0"/>
                <w:color w:val="000000"/>
                <w:sz w:val="18"/>
              </w:rPr>
              <w:t>POC decision</w:t>
            </w:r>
          </w:p>
        </w:tc>
      </w:tr>
      <w:tr>
        <w:tc>
          <w:tcPr>
            <w:tcW w:type="dxa" w:w="1650"/>
            <w:vAlign w:val="center"/>
            <w:tcMar>
              <w:top w:w="80" w:type="dxa"/>
              <w:start w:w="120" w:type="dxa"/>
              <w:bottom w:w="80" w:type="dxa"/>
              <w:end w:w="120" w:type="dxa"/>
            </w:tcMar>
          </w:tcPr>
          <w:p>
            <w:pPr>
              <w:spacing w:after="20" w:line="252" w:lineRule="auto"/>
            </w:pPr>
            <w:r/>
            <w:r>
              <w:rPr>
                <w:rFonts w:ascii="Arial" w:hAnsi="Arial"/>
                <w:b w:val="0"/>
                <w:i w:val="0"/>
                <w:color w:val="000000"/>
                <w:sz w:val="18"/>
              </w:rPr>
              <w:t>2-REPORT</w:t>
            </w:r>
          </w:p>
        </w:tc>
        <w:tc>
          <w:tcPr>
            <w:tcW w:type="dxa" w:w="1050"/>
            <w:vAlign w:val="center"/>
            <w:tcMar>
              <w:top w:w="80" w:type="dxa"/>
              <w:start w:w="120" w:type="dxa"/>
              <w:bottom w:w="80" w:type="dxa"/>
              <w:end w:w="120" w:type="dxa"/>
            </w:tcMar>
          </w:tcPr>
          <w:p>
            <w:pPr>
              <w:spacing w:after="20" w:line="252" w:lineRule="auto"/>
            </w:pPr>
            <w:r/>
            <w:r>
              <w:rPr>
                <w:rFonts w:ascii="Arial" w:hAnsi="Arial"/>
                <w:b w:val="0"/>
                <w:i w:val="0"/>
                <w:color w:val="000000"/>
                <w:sz w:val="18"/>
              </w:rPr>
              <w:t>8</w:t>
            </w:r>
          </w:p>
        </w:tc>
        <w:tc>
          <w:tcPr>
            <w:tcW w:type="dxa" w:w="2500"/>
            <w:vAlign w:val="center"/>
            <w:tcMar>
              <w:top w:w="80" w:type="dxa"/>
              <w:start w:w="120" w:type="dxa"/>
              <w:bottom w:w="80" w:type="dxa"/>
              <w:end w:w="120" w:type="dxa"/>
            </w:tcMar>
          </w:tcPr>
          <w:p>
            <w:pPr>
              <w:spacing w:after="20" w:line="252" w:lineRule="auto"/>
            </w:pPr>
            <w:r/>
            <w:r>
              <w:rPr>
                <w:rFonts w:ascii="Arial" w:hAnsi="Arial"/>
                <w:b w:val="0"/>
                <w:i w:val="0"/>
                <w:color w:val="000000"/>
                <w:sz w:val="18"/>
              </w:rPr>
              <w:t>8 / 0 / 0</w:t>
            </w:r>
          </w:p>
        </w:tc>
        <w:tc>
          <w:tcPr>
            <w:tcW w:type="dxa" w:w="1300"/>
            <w:vAlign w:val="center"/>
            <w:tcMar>
              <w:top w:w="80" w:type="dxa"/>
              <w:start w:w="120" w:type="dxa"/>
              <w:bottom w:w="80" w:type="dxa"/>
              <w:end w:w="120" w:type="dxa"/>
            </w:tcMar>
          </w:tcPr>
          <w:p>
            <w:pPr>
              <w:spacing w:after="20" w:line="252" w:lineRule="auto"/>
            </w:pPr>
            <w:r/>
            <w:r>
              <w:rPr>
                <w:rFonts w:ascii="Arial" w:hAnsi="Arial"/>
                <w:b w:val="0"/>
                <w:i w:val="0"/>
                <w:color w:val="000000"/>
                <w:sz w:val="18"/>
              </w:rPr>
              <w:t>100.0%</w:t>
            </w:r>
          </w:p>
        </w:tc>
        <w:tc>
          <w:tcPr>
            <w:tcW w:type="dxa" w:w="3310"/>
            <w:vAlign w:val="center"/>
            <w:tcMar>
              <w:top w:w="80" w:type="dxa"/>
              <w:start w:w="120" w:type="dxa"/>
              <w:bottom w:w="80" w:type="dxa"/>
              <w:end w:w="120" w:type="dxa"/>
            </w:tcMar>
          </w:tcPr>
          <w:p>
            <w:pPr>
              <w:spacing w:after="20" w:line="252" w:lineRule="auto"/>
            </w:pPr>
            <w:r/>
            <w:r>
              <w:rPr>
                <w:rFonts w:ascii="Arial" w:hAnsi="Arial"/>
                <w:b w:val="0"/>
                <w:i w:val="0"/>
                <w:color w:val="000000"/>
                <w:sz w:val="18"/>
              </w:rPr>
              <w:t>PASS at 70% threshold</w:t>
            </w:r>
          </w:p>
        </w:tc>
      </w:tr>
      <w:tr>
        <w:tc>
          <w:tcPr>
            <w:tcW w:type="dxa" w:w="1650"/>
            <w:vAlign w:val="center"/>
            <w:tcMar>
              <w:top w:w="80" w:type="dxa"/>
              <w:start w:w="120" w:type="dxa"/>
              <w:bottom w:w="80" w:type="dxa"/>
              <w:end w:w="120" w:type="dxa"/>
            </w:tcMar>
          </w:tcPr>
          <w:p>
            <w:pPr>
              <w:spacing w:after="20" w:line="252" w:lineRule="auto"/>
            </w:pPr>
            <w:r/>
            <w:r>
              <w:rPr>
                <w:rFonts w:ascii="Arial" w:hAnsi="Arial"/>
                <w:b w:val="0"/>
                <w:i w:val="0"/>
                <w:color w:val="000000"/>
                <w:sz w:val="18"/>
              </w:rPr>
              <w:t>4-REPORT</w:t>
            </w:r>
          </w:p>
        </w:tc>
        <w:tc>
          <w:tcPr>
            <w:tcW w:type="dxa" w:w="1050"/>
            <w:vAlign w:val="center"/>
            <w:tcMar>
              <w:top w:w="80" w:type="dxa"/>
              <w:start w:w="120" w:type="dxa"/>
              <w:bottom w:w="80" w:type="dxa"/>
              <w:end w:w="120" w:type="dxa"/>
            </w:tcMar>
          </w:tcPr>
          <w:p>
            <w:pPr>
              <w:spacing w:after="20" w:line="252" w:lineRule="auto"/>
            </w:pPr>
            <w:r/>
            <w:r>
              <w:rPr>
                <w:rFonts w:ascii="Arial" w:hAnsi="Arial"/>
                <w:b w:val="0"/>
                <w:i w:val="0"/>
                <w:color w:val="000000"/>
                <w:sz w:val="18"/>
              </w:rPr>
              <w:t>8</w:t>
            </w:r>
          </w:p>
        </w:tc>
        <w:tc>
          <w:tcPr>
            <w:tcW w:type="dxa" w:w="2500"/>
            <w:vAlign w:val="center"/>
            <w:tcMar>
              <w:top w:w="80" w:type="dxa"/>
              <w:start w:w="120" w:type="dxa"/>
              <w:bottom w:w="80" w:type="dxa"/>
              <w:end w:w="120" w:type="dxa"/>
            </w:tcMar>
          </w:tcPr>
          <w:p>
            <w:pPr>
              <w:spacing w:after="20" w:line="252" w:lineRule="auto"/>
            </w:pPr>
            <w:r/>
            <w:r>
              <w:rPr>
                <w:rFonts w:ascii="Arial" w:hAnsi="Arial"/>
                <w:b w:val="0"/>
                <w:i w:val="0"/>
                <w:color w:val="000000"/>
                <w:sz w:val="18"/>
              </w:rPr>
              <w:t>7 / 1 / 0</w:t>
            </w:r>
          </w:p>
        </w:tc>
        <w:tc>
          <w:tcPr>
            <w:tcW w:type="dxa" w:w="1300"/>
            <w:vAlign w:val="center"/>
            <w:tcMar>
              <w:top w:w="80" w:type="dxa"/>
              <w:start w:w="120" w:type="dxa"/>
              <w:bottom w:w="80" w:type="dxa"/>
              <w:end w:w="120" w:type="dxa"/>
            </w:tcMar>
          </w:tcPr>
          <w:p>
            <w:pPr>
              <w:spacing w:after="20" w:line="252" w:lineRule="auto"/>
            </w:pPr>
            <w:r/>
            <w:r>
              <w:rPr>
                <w:rFonts w:ascii="Arial" w:hAnsi="Arial"/>
                <w:b w:val="0"/>
                <w:i w:val="0"/>
                <w:color w:val="000000"/>
                <w:sz w:val="18"/>
              </w:rPr>
              <w:t>87.5%</w:t>
            </w:r>
          </w:p>
        </w:tc>
        <w:tc>
          <w:tcPr>
            <w:tcW w:type="dxa" w:w="3310"/>
            <w:vAlign w:val="center"/>
            <w:tcMar>
              <w:top w:w="80" w:type="dxa"/>
              <w:start w:w="120" w:type="dxa"/>
              <w:bottom w:w="80" w:type="dxa"/>
              <w:end w:w="120" w:type="dxa"/>
            </w:tcMar>
          </w:tcPr>
          <w:p>
            <w:pPr>
              <w:spacing w:after="20" w:line="252" w:lineRule="auto"/>
            </w:pPr>
            <w:r/>
            <w:r>
              <w:rPr>
                <w:rFonts w:ascii="Arial" w:hAnsi="Arial"/>
                <w:b w:val="0"/>
                <w:i w:val="0"/>
                <w:color w:val="000000"/>
                <w:sz w:val="18"/>
              </w:rPr>
              <w:t>PASS at 70% threshold</w:t>
            </w:r>
          </w:p>
        </w:tc>
      </w:tr>
      <w:tr>
        <w:tc>
          <w:tcPr>
            <w:tcW w:type="dxa" w:w="1650"/>
            <w:vAlign w:val="center"/>
            <w:tcMar>
              <w:top w:w="80" w:type="dxa"/>
              <w:start w:w="120" w:type="dxa"/>
              <w:bottom w:w="80" w:type="dxa"/>
              <w:end w:w="120" w:type="dxa"/>
            </w:tcMar>
          </w:tcPr>
          <w:p>
            <w:pPr>
              <w:spacing w:after="20" w:line="252" w:lineRule="auto"/>
            </w:pPr>
            <w:r/>
            <w:r>
              <w:rPr>
                <w:rFonts w:ascii="Arial" w:hAnsi="Arial"/>
                <w:b w:val="0"/>
                <w:i w:val="0"/>
                <w:color w:val="000000"/>
                <w:sz w:val="18"/>
              </w:rPr>
              <w:t>Production release</w:t>
            </w:r>
          </w:p>
        </w:tc>
        <w:tc>
          <w:tcPr>
            <w:tcW w:type="dxa" w:w="1050"/>
            <w:vAlign w:val="center"/>
            <w:tcMar>
              <w:top w:w="80" w:type="dxa"/>
              <w:start w:w="120" w:type="dxa"/>
              <w:bottom w:w="80" w:type="dxa"/>
              <w:end w:w="120" w:type="dxa"/>
            </w:tcMar>
          </w:tcPr>
          <w:p>
            <w:pPr>
              <w:spacing w:after="20" w:line="252" w:lineRule="auto"/>
            </w:pPr>
            <w:r/>
            <w:r>
              <w:rPr>
                <w:rFonts w:ascii="Arial" w:hAnsi="Arial"/>
                <w:b w:val="0"/>
                <w:i w:val="0"/>
                <w:color w:val="000000"/>
                <w:sz w:val="18"/>
              </w:rPr>
              <w:t>2 reports</w:t>
            </w:r>
          </w:p>
        </w:tc>
        <w:tc>
          <w:tcPr>
            <w:tcW w:type="dxa" w:w="2500"/>
            <w:vAlign w:val="center"/>
            <w:tcMar>
              <w:top w:w="80" w:type="dxa"/>
              <w:start w:w="120" w:type="dxa"/>
              <w:bottom w:w="80" w:type="dxa"/>
              <w:end w:w="120" w:type="dxa"/>
            </w:tcMar>
          </w:tcPr>
          <w:p>
            <w:pPr>
              <w:spacing w:after="20" w:line="252" w:lineRule="auto"/>
            </w:pPr>
            <w:r/>
            <w:r>
              <w:rPr>
                <w:rFonts w:ascii="Arial" w:hAnsi="Arial"/>
                <w:b w:val="0"/>
                <w:i w:val="0"/>
                <w:color w:val="000000"/>
                <w:sz w:val="18"/>
              </w:rPr>
              <w:t>12 Yes / 4 No / 0 IE labels</w:t>
            </w:r>
          </w:p>
        </w:tc>
        <w:tc>
          <w:tcPr>
            <w:tcW w:type="dxa" w:w="1300"/>
            <w:vAlign w:val="center"/>
            <w:tcMar>
              <w:top w:w="80" w:type="dxa"/>
              <w:start w:w="120" w:type="dxa"/>
              <w:bottom w:w="80" w:type="dxa"/>
              <w:end w:w="120" w:type="dxa"/>
            </w:tcMar>
          </w:tcPr>
          <w:p>
            <w:pPr>
              <w:spacing w:after="20" w:line="252" w:lineRule="auto"/>
            </w:pPr>
            <w:r/>
            <w:r>
              <w:rPr>
                <w:rFonts w:ascii="Arial" w:hAnsi="Arial"/>
                <w:b w:val="0"/>
                <w:i w:val="0"/>
                <w:color w:val="000000"/>
                <w:sz w:val="18"/>
              </w:rPr>
              <w:t>Not applicable</w:t>
            </w:r>
          </w:p>
        </w:tc>
        <w:tc>
          <w:tcPr>
            <w:tcW w:type="dxa" w:w="3310"/>
            <w:vAlign w:val="center"/>
            <w:tcMar>
              <w:top w:w="80" w:type="dxa"/>
              <w:start w:w="120" w:type="dxa"/>
              <w:bottom w:w="80" w:type="dxa"/>
              <w:end w:w="120" w:type="dxa"/>
            </w:tcMar>
          </w:tcPr>
          <w:p>
            <w:pPr>
              <w:spacing w:after="20" w:line="252" w:lineRule="auto"/>
            </w:pPr>
            <w:r/>
            <w:r>
              <w:rPr>
                <w:rFonts w:ascii="Arial" w:hAnsi="Arial"/>
                <w:b w:val="0"/>
                <w:i w:val="0"/>
                <w:color w:val="000000"/>
                <w:sz w:val="18"/>
              </w:rPr>
              <w:t>BLOCKED evidence gate</w:t>
            </w:r>
          </w:p>
        </w:tc>
      </w:tr>
    </w:tbl>
    <w:p>
      <w:pPr>
        <w:spacing w:after="20"/>
      </w:pPr>
    </w:p>
    <w:p>
      <w:pPr>
        <w:pStyle w:val="Heading1"/>
      </w:pPr>
      <w:r>
        <w:t>POC acceptance conclusion</w:t>
      </w:r>
    </w:p>
    <w:p>
      <w:pPr>
        <w:spacing w:after="120" w:line="276" w:lineRule="auto"/>
      </w:pPr>
      <w:r>
        <w:rPr>
          <w:rFonts w:ascii="Arial" w:hAnsi="Arial"/>
          <w:b w:val="0"/>
          <w:i w:val="0"/>
          <w:color w:val="000000"/>
          <w:sz w:val="21"/>
        </w:rPr>
        <w:t>The complete POC has been demonstrated on two actual supplied report files, not synthetic generated reports. It produces an audit score from the eight benchmark questions for each report and retains the question-level evidence needed to inspect both PASS outcomes. [E4][E5]</w:t>
      </w:r>
    </w:p>
    <w:p>
      <w:pPr>
        <w:spacing w:after="120" w:line="276" w:lineRule="auto"/>
      </w:pPr>
      <w:r>
        <w:rPr>
          <w:rFonts w:ascii="Arial" w:hAnsi="Arial"/>
          <w:b w:val="0"/>
          <w:i w:val="0"/>
          <w:color w:val="000000"/>
          <w:sz w:val="21"/>
        </w:rPr>
        <w:t>The production gate is intentionally more conservative than the POC scorer. A sample report can pass its selected benchmark while the system is still blocked from operational use because the evidence corpus lacks breadth, independent review and missing-evidence labels. That distinction is a strength of the submission, not a caveat hidden at the end. [E10]</w:t>
      </w:r>
    </w:p>
    <w:p>
      <w:pPr>
        <w:pStyle w:val="Heading1"/>
      </w:pPr>
      <w:r>
        <w:t>Demonstration sequence for review</w:t>
      </w:r>
    </w:p>
    <w:p>
      <w:pPr>
        <w:spacing w:after="120" w:line="276" w:lineRule="auto"/>
      </w:pPr>
      <w:r>
        <w:rPr>
          <w:rFonts w:ascii="Arial" w:hAnsi="Arial"/>
          <w:b w:val="0"/>
          <w:i w:val="0"/>
          <w:color w:val="000000"/>
          <w:sz w:val="21"/>
        </w:rPr>
        <w:t>A reviewer can reproduce the POC narrative in five steps: identify one supplied JSON report; select one of the eight benchmark questions; inspect the retrieved chunk IDs and source paths; inspect the schema response and its cited evidence; then verify how the harness adds the Yes outcomes into the report score. The saved result files preserve every one of these stages. [E4][E5]</w:t>
      </w:r>
    </w:p>
    <w:p>
      <w:pPr>
        <w:spacing w:after="120" w:line="276" w:lineRule="auto"/>
      </w:pPr>
      <w:r>
        <w:rPr>
          <w:rFonts w:ascii="Arial" w:hAnsi="Arial"/>
          <w:b w:val="0"/>
          <w:i w:val="0"/>
          <w:color w:val="000000"/>
          <w:sz w:val="21"/>
        </w:rPr>
        <w:t>For 2-REPORT the harness records eight positive answers and therefore a 100% score. For 4-REPORT it records seven positive answers and one negative answer, producing 87.5%. Both clear the explicit 70% POC threshold. The figures are descriptive outcomes of the current rubric, not a statement that the reports are objectively secure. [E5]</w:t>
      </w:r>
    </w:p>
    <w:p>
      <w:pPr>
        <w:spacing w:after="120" w:line="276" w:lineRule="auto"/>
      </w:pPr>
      <w:r>
        <w:rPr>
          <w:rFonts w:ascii="Arial" w:hAnsi="Arial"/>
          <w:b w:val="0"/>
          <w:i w:val="0"/>
          <w:color w:val="000000"/>
          <w:sz w:val="21"/>
        </w:rPr>
        <w:t>The final POC acceptance condition is thus satisfied: the requested workflow exists, runs locally and is auditable. The intentionally separate release decision remains BLOCKED until evidence quality, not merely implementation completeness, improves. [E10]</w:t>
      </w:r>
    </w:p>
    <w:p>
      <w:pPr>
        <w:pStyle w:val="Heading1"/>
      </w:pPr>
      <w:r>
        <w:t>Repository evidence cited</w:t>
      </w:r>
    </w:p>
    <w:p>
      <w:pPr>
        <w:pStyle w:val="ListBullet"/>
        <w:spacing w:after="60" w:line="264" w:lineRule="auto"/>
      </w:pPr>
      <w:r>
        <w:rPr>
          <w:rFonts w:ascii="Arial" w:hAnsi="Arial"/>
          <w:b w:val="0"/>
          <w:i w:val="0"/>
          <w:color w:val="000000"/>
          <w:sz w:val="20"/>
        </w:rPr>
        <w:t>[E4] results/production_real_reports/1787846335_de0ded86a7db/run_config.json and run.log: two-report production-parser run configuration and execution log.</w:t>
      </w:r>
    </w:p>
    <w:p>
      <w:pPr>
        <w:pStyle w:val="ListBullet"/>
        <w:spacing w:after="60" w:line="264" w:lineRule="auto"/>
      </w:pPr>
      <w:r>
        <w:rPr>
          <w:rFonts w:ascii="Arial" w:hAnsi="Arial"/>
          <w:b w:val="0"/>
          <w:i w:val="0"/>
          <w:color w:val="000000"/>
          <w:sz w:val="20"/>
        </w:rPr>
        <w:t>[E5] results/production_real_reports/1787846335_de0ded86a7db/{retrieval_metrics,question_level_llm_metrics,sota_faithfulness_metrics,audit_level_scores}.json: scored metrics and audit decisions.</w:t>
      </w:r>
    </w:p>
    <w:p>
      <w:pPr>
        <w:pStyle w:val="ListBullet"/>
        <w:spacing w:after="60" w:line="264" w:lineRule="auto"/>
      </w:pPr>
      <w:r>
        <w:rPr>
          <w:rFonts w:ascii="Arial" w:hAnsi="Arial"/>
          <w:b w:val="0"/>
          <w:i w:val="0"/>
          <w:color w:val="000000"/>
          <w:sz w:val="20"/>
        </w:rPr>
        <w:t>[E6] sample_data/{2-report.json,4-report.json,real_reports_benchmark_questions.json}: source reports and eight source-derived questions per report.</w:t>
      </w:r>
    </w:p>
    <w:p>
      <w:pPr>
        <w:pStyle w:val="ListBullet"/>
        <w:spacing w:after="60" w:line="264" w:lineRule="auto"/>
      </w:pPr>
      <w:r>
        <w:rPr>
          <w:rFonts w:ascii="Arial" w:hAnsi="Arial"/>
          <w:b w:val="0"/>
          <w:i w:val="0"/>
          <w:color w:val="000000"/>
          <w:sz w:val="20"/>
        </w:rPr>
        <w:t>[E10] results/final_validation/VALIDATION_SUMMARY.md and its cited run directories: controlled local LLM, ICL, prompt, retrieval, CRAG, chunking and chunk-parameter comparisons completed 28 August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000000"/>
        <w:sz w:val="17"/>
      </w:rPr>
      <w:t>D11 Integrated Proof of Concept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i w:val="0"/>
        <w:color w:val="000000"/>
        <w:sz w:val="17"/>
      </w:rPr>
      <w:t>Objective 3 | AI-Based Cyber Security Audit Assessment Against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6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