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i w:val="0"/>
          <w:color w:val="000000"/>
          <w:sz w:val="44"/>
        </w:rPr>
        <w:t>D12. Final Technical Report and Demonstration</w:t>
      </w:r>
    </w:p>
    <w:p>
      <w:pPr>
        <w:spacing w:after="280"/>
      </w:pPr>
      <w:r>
        <w:rPr>
          <w:rFonts w:ascii="Arial" w:hAnsi="Arial"/>
          <w:b w:val="0"/>
          <w:i/>
          <w:color w:val="000000"/>
          <w:sz w:val="22"/>
        </w:rPr>
        <w:t>Consolidated conclusion, deliverable map and 5-10 minute technical demo script.</w:t>
      </w:r>
    </w:p>
    <w:tbl>
      <w:tblPr>
        <w:tblStyle w:val="TableGrid"/>
        <w:tblW w:type="dxa" w:w="9360"/>
        <w:tblLayout w:type="fixed"/>
        <w:tblLook w:firstColumn="1" w:firstRow="1" w:lastColumn="0" w:lastRow="0" w:noHBand="0" w:noVBand="1" w:val="04A0"/>
        <w:tblInd w:w="120" w:type="dxa"/>
      </w:tblPr>
      <w:tblGrid>
        <w:gridCol w:w="1850"/>
        <w:gridCol w:w="7510"/>
      </w:tblGrid>
      <w:tr>
        <w:tc>
          <w:tcPr>
            <w:tcW w:type="dxa" w:w="1850"/>
            <w:vAlign w:val="center"/>
            <w:tcMar>
              <w:top w:w="80" w:type="dxa"/>
              <w:start w:w="120" w:type="dxa"/>
              <w:bottom w:w="80" w:type="dxa"/>
              <w:end w:w="120" w:type="dxa"/>
            </w:tcMar>
          </w:tcPr>
          <w:p>
            <w:pPr>
              <w:spacing w:after="20"/>
            </w:pPr>
            <w:r/>
            <w:r>
              <w:rPr>
                <w:rFonts w:ascii="Arial" w:hAnsi="Arial"/>
                <w:b/>
                <w:i w:val="0"/>
                <w:color w:val="000000"/>
                <w:sz w:val="18"/>
              </w:rPr>
              <w:t>Field</w:t>
            </w:r>
          </w:p>
        </w:tc>
        <w:tc>
          <w:tcPr>
            <w:tcW w:type="dxa" w:w="7510"/>
            <w:vAlign w:val="center"/>
            <w:tcMar>
              <w:top w:w="80" w:type="dxa"/>
              <w:start w:w="120" w:type="dxa"/>
              <w:bottom w:w="80" w:type="dxa"/>
              <w:end w:w="120" w:type="dxa"/>
            </w:tcMar>
          </w:tcPr>
          <w:p>
            <w:pPr>
              <w:spacing w:after="20"/>
            </w:pPr>
            <w:r/>
            <w:r>
              <w:rPr>
                <w:rFonts w:ascii="Arial" w:hAnsi="Arial"/>
                <w:b/>
                <w:i w:val="0"/>
                <w:color w:val="000000"/>
                <w:sz w:val="18"/>
              </w:rPr>
              <w:t>Value</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Project</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Development of AI-Based Cyber Security Audit Assessment Against Benchmark</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Scope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Objective 3; secure local/air-gapped RAG proof of concept</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Report date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28 August 2026</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Evidence rule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Implemented, tested and untested claims are labelled separately.</w:t>
            </w:r>
          </w:p>
        </w:tc>
      </w:tr>
    </w:tbl>
    <w:p>
      <w:pPr>
        <w:spacing w:after="20"/>
      </w:pPr>
    </w:p>
    <w:p>
      <w:pPr>
        <w:pStyle w:val="Heading1"/>
      </w:pPr>
      <w:r>
        <w:t>What a reviewer can verify</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tcPr>
          <w:p>
            <w:pPr>
              <w:spacing w:after="20"/>
            </w:pPr>
            <w:r/>
            <w:r>
              <w:rPr>
                <w:rFonts w:ascii="Arial" w:hAnsi="Arial"/>
                <w:b/>
                <w:i w:val="0"/>
                <w:color w:val="000000"/>
                <w:sz w:val="18"/>
              </w:rPr>
              <w:t>Review question</w:t>
            </w:r>
          </w:p>
        </w:tc>
        <w:tc>
          <w:tcPr>
            <w:tcW w:type="dxa" w:w="6660"/>
            <w:vAlign w:val="center"/>
            <w:tcMar>
              <w:top w:w="80" w:type="dxa"/>
              <w:start w:w="120" w:type="dxa"/>
              <w:bottom w:w="80" w:type="dxa"/>
              <w:end w:w="120" w:type="dxa"/>
            </w:tcMar>
          </w:tcPr>
          <w:p>
            <w:pPr>
              <w:spacing w:after="20"/>
            </w:pPr>
            <w:r/>
            <w:r>
              <w:rPr>
                <w:rFonts w:ascii="Arial" w:hAnsi="Arial"/>
                <w:b/>
                <w:i w:val="0"/>
                <w:color w:val="000000"/>
                <w:sz w:val="18"/>
              </w:rPr>
              <w:t>Where the submission answers it</w:t>
            </w:r>
          </w:p>
        </w:tc>
      </w:tr>
      <w:tr>
        <w:tc>
          <w:tcPr>
            <w:tcW w:type="dxa" w:w="2700"/>
            <w:vAlign w:val="center"/>
            <w:tcMar>
              <w:top w:w="80" w:type="dxa"/>
              <w:start w:w="120" w:type="dxa"/>
              <w:bottom w:w="80" w:type="dxa"/>
              <w:end w:w="120" w:type="dxa"/>
            </w:tcMar>
          </w:tcPr>
          <w:p>
            <w:pPr>
              <w:spacing w:after="20" w:line="252" w:lineRule="auto"/>
            </w:pPr>
            <w:r/>
            <w:r>
              <w:rPr>
                <w:rFonts w:ascii="Arial" w:hAnsi="Arial"/>
                <w:b w:val="0"/>
                <w:i w:val="0"/>
                <w:color w:val="000000"/>
                <w:sz w:val="18"/>
              </w:rPr>
              <w:t>Why this architecture?</w:t>
            </w:r>
          </w:p>
        </w:tc>
        <w:tc>
          <w:tcPr>
            <w:tcW w:type="dxa" w:w="6660"/>
            <w:vAlign w:val="center"/>
            <w:tcMar>
              <w:top w:w="80" w:type="dxa"/>
              <w:start w:w="120" w:type="dxa"/>
              <w:bottom w:w="80" w:type="dxa"/>
              <w:end w:w="120" w:type="dxa"/>
            </w:tcMar>
          </w:tcPr>
          <w:p>
            <w:pPr>
              <w:spacing w:after="20" w:line="252" w:lineRule="auto"/>
            </w:pPr>
            <w:r/>
            <w:r>
              <w:rPr>
                <w:rFonts w:ascii="Arial" w:hAnsi="Arial"/>
                <w:b w:val="0"/>
                <w:i w:val="0"/>
                <w:color w:val="000000"/>
                <w:sz w:val="18"/>
              </w:rPr>
              <w:t>D1 and D4: technology rationale, provenance and hybrid retrieval</w:t>
            </w:r>
          </w:p>
        </w:tc>
      </w:tr>
      <w:tr>
        <w:tc>
          <w:tcPr>
            <w:tcW w:type="dxa" w:w="2700"/>
            <w:vAlign w:val="center"/>
            <w:tcMar>
              <w:top w:w="80" w:type="dxa"/>
              <w:start w:w="120" w:type="dxa"/>
              <w:bottom w:w="80" w:type="dxa"/>
              <w:end w:w="120" w:type="dxa"/>
            </w:tcMar>
          </w:tcPr>
          <w:p>
            <w:pPr>
              <w:spacing w:after="20" w:line="252" w:lineRule="auto"/>
            </w:pPr>
            <w:r/>
            <w:r>
              <w:rPr>
                <w:rFonts w:ascii="Arial" w:hAnsi="Arial"/>
                <w:b w:val="0"/>
                <w:i w:val="0"/>
                <w:color w:val="000000"/>
                <w:sz w:val="18"/>
              </w:rPr>
              <w:t>Which model/configuration was tested?</w:t>
            </w:r>
          </w:p>
        </w:tc>
        <w:tc>
          <w:tcPr>
            <w:tcW w:type="dxa" w:w="6660"/>
            <w:vAlign w:val="center"/>
            <w:tcMar>
              <w:top w:w="80" w:type="dxa"/>
              <w:start w:w="120" w:type="dxa"/>
              <w:bottom w:w="80" w:type="dxa"/>
              <w:end w:w="120" w:type="dxa"/>
            </w:tcMar>
          </w:tcPr>
          <w:p>
            <w:pPr>
              <w:spacing w:after="20" w:line="252" w:lineRule="auto"/>
            </w:pPr>
            <w:r/>
            <w:r>
              <w:rPr>
                <w:rFonts w:ascii="Arial" w:hAnsi="Arial"/>
                <w:b w:val="0"/>
                <w:i w:val="0"/>
                <w:color w:val="000000"/>
                <w:sz w:val="18"/>
              </w:rPr>
              <w:t>D2, D3 and D6: controlled model, ICL and prompt outcomes</w:t>
            </w:r>
          </w:p>
        </w:tc>
      </w:tr>
      <w:tr>
        <w:tc>
          <w:tcPr>
            <w:tcW w:type="dxa" w:w="2700"/>
            <w:vAlign w:val="center"/>
            <w:tcMar>
              <w:top w:w="80" w:type="dxa"/>
              <w:start w:w="120" w:type="dxa"/>
              <w:bottom w:w="80" w:type="dxa"/>
              <w:end w:w="120" w:type="dxa"/>
            </w:tcMar>
          </w:tcPr>
          <w:p>
            <w:pPr>
              <w:spacing w:after="20" w:line="252" w:lineRule="auto"/>
            </w:pPr>
            <w:r/>
            <w:r>
              <w:rPr>
                <w:rFonts w:ascii="Arial" w:hAnsi="Arial"/>
                <w:b w:val="0"/>
                <w:i w:val="0"/>
                <w:color w:val="000000"/>
                <w:sz w:val="18"/>
              </w:rPr>
              <w:t>Does retrieval actually work?</w:t>
            </w:r>
          </w:p>
        </w:tc>
        <w:tc>
          <w:tcPr>
            <w:tcW w:type="dxa" w:w="6660"/>
            <w:vAlign w:val="center"/>
            <w:tcMar>
              <w:top w:w="80" w:type="dxa"/>
              <w:start w:w="120" w:type="dxa"/>
              <w:bottom w:w="80" w:type="dxa"/>
              <w:end w:w="120" w:type="dxa"/>
            </w:tcMar>
          </w:tcPr>
          <w:p>
            <w:pPr>
              <w:spacing w:after="20" w:line="252" w:lineRule="auto"/>
            </w:pPr>
            <w:r/>
            <w:r>
              <w:rPr>
                <w:rFonts w:ascii="Arial" w:hAnsi="Arial"/>
                <w:b w:val="0"/>
                <w:i w:val="0"/>
                <w:color w:val="000000"/>
                <w:sz w:val="18"/>
              </w:rPr>
              <w:t>D5: metrics and evidence-case analysis</w:t>
            </w:r>
          </w:p>
        </w:tc>
      </w:tr>
      <w:tr>
        <w:tc>
          <w:tcPr>
            <w:tcW w:type="dxa" w:w="2700"/>
            <w:vAlign w:val="center"/>
            <w:tcMar>
              <w:top w:w="80" w:type="dxa"/>
              <w:start w:w="120" w:type="dxa"/>
              <w:bottom w:w="80" w:type="dxa"/>
              <w:end w:w="120" w:type="dxa"/>
            </w:tcMar>
          </w:tcPr>
          <w:p>
            <w:pPr>
              <w:spacing w:after="20" w:line="252" w:lineRule="auto"/>
            </w:pPr>
            <w:r/>
            <w:r>
              <w:rPr>
                <w:rFonts w:ascii="Arial" w:hAnsi="Arial"/>
                <w:b w:val="0"/>
                <w:i w:val="0"/>
                <w:color w:val="000000"/>
                <w:sz w:val="18"/>
              </w:rPr>
              <w:t>Can it be reproduced?</w:t>
            </w:r>
          </w:p>
        </w:tc>
        <w:tc>
          <w:tcPr>
            <w:tcW w:type="dxa" w:w="6660"/>
            <w:vAlign w:val="center"/>
            <w:tcMar>
              <w:top w:w="80" w:type="dxa"/>
              <w:start w:w="120" w:type="dxa"/>
              <w:bottom w:w="80" w:type="dxa"/>
              <w:end w:w="120" w:type="dxa"/>
            </w:tcMar>
          </w:tcPr>
          <w:p>
            <w:pPr>
              <w:spacing w:after="20" w:line="252" w:lineRule="auto"/>
            </w:pPr>
            <w:r/>
            <w:r>
              <w:rPr>
                <w:rFonts w:ascii="Arial" w:hAnsi="Arial"/>
                <w:b w:val="0"/>
                <w:i w:val="0"/>
                <w:color w:val="000000"/>
                <w:sz w:val="18"/>
              </w:rPr>
              <w:t>D9 and final_validation ledger: configs, logs and outputs</w:t>
            </w:r>
          </w:p>
        </w:tc>
      </w:tr>
      <w:tr>
        <w:tc>
          <w:tcPr>
            <w:tcW w:type="dxa" w:w="2700"/>
            <w:vAlign w:val="center"/>
            <w:tcMar>
              <w:top w:w="80" w:type="dxa"/>
              <w:start w:w="120" w:type="dxa"/>
              <w:bottom w:w="80" w:type="dxa"/>
              <w:end w:w="120" w:type="dxa"/>
            </w:tcMar>
          </w:tcPr>
          <w:p>
            <w:pPr>
              <w:spacing w:after="20" w:line="252" w:lineRule="auto"/>
            </w:pPr>
            <w:r/>
            <w:r>
              <w:rPr>
                <w:rFonts w:ascii="Arial" w:hAnsi="Arial"/>
                <w:b w:val="0"/>
                <w:i w:val="0"/>
                <w:color w:val="000000"/>
                <w:sz w:val="18"/>
              </w:rPr>
              <w:t>What does the POC prove and not prove?</w:t>
            </w:r>
          </w:p>
        </w:tc>
        <w:tc>
          <w:tcPr>
            <w:tcW w:type="dxa" w:w="6660"/>
            <w:vAlign w:val="center"/>
            <w:tcMar>
              <w:top w:w="80" w:type="dxa"/>
              <w:start w:w="120" w:type="dxa"/>
              <w:bottom w:w="80" w:type="dxa"/>
              <w:end w:w="120" w:type="dxa"/>
            </w:tcMar>
          </w:tcPr>
          <w:p>
            <w:pPr>
              <w:spacing w:after="20" w:line="252" w:lineRule="auto"/>
            </w:pPr>
            <w:r/>
            <w:r>
              <w:rPr>
                <w:rFonts w:ascii="Arial" w:hAnsi="Arial"/>
                <w:b w:val="0"/>
                <w:i w:val="0"/>
                <w:color w:val="000000"/>
                <w:sz w:val="18"/>
              </w:rPr>
              <w:t>D10 and D11: results, errors, gate and limitations</w:t>
            </w:r>
          </w:p>
        </w:tc>
      </w:tr>
    </w:tbl>
    <w:p>
      <w:pPr>
        <w:spacing w:after="20"/>
      </w:pPr>
    </w:p>
    <w:p>
      <w:pPr>
        <w:pStyle w:val="Heading1"/>
      </w:pPr>
      <w:r>
        <w:t>Final submission position</w:t>
      </w:r>
    </w:p>
    <w:p>
      <w:pPr>
        <w:spacing w:after="120" w:line="276" w:lineRule="auto"/>
      </w:pPr>
      <w:r>
        <w:rPr>
          <w:rFonts w:ascii="Arial" w:hAnsi="Arial"/>
          <w:b w:val="0"/>
          <w:i w:val="0"/>
          <w:color w:val="000000"/>
          <w:sz w:val="21"/>
        </w:rPr>
        <w:t>This is a strong technical POC submission because it combines a modern local RAG architecture with a traceable evaluation harness and actual controlled experiments. It tells a coherent story from research rationale to implementation to comparative evidence, instead of treating the model as a black box. [E8][E10]</w:t>
      </w:r>
    </w:p>
    <w:p>
      <w:pPr>
        <w:spacing w:after="120" w:line="276" w:lineRule="auto"/>
      </w:pPr>
      <w:r>
        <w:rPr>
          <w:rFonts w:ascii="Arial" w:hAnsi="Arial"/>
          <w:b w:val="0"/>
          <w:i w:val="0"/>
          <w:color w:val="000000"/>
          <w:sz w:val="21"/>
        </w:rPr>
        <w:t>The final spoken demo should lead with the auditable chain: report -&gt; provenance-preserving evidence -&gt; hybrid retrieval -&gt; constrained answer -&gt; question-level record -&gt; audit score -&gt; release gate. Finish by stating the precise next requirement: independent expert labels across more reports. [E4][E5][E10]</w:t>
      </w:r>
    </w:p>
    <w:p>
      <w:pPr>
        <w:pStyle w:val="Heading1"/>
      </w:pPr>
      <w:r>
        <w:t>Final conclusion</w:t>
      </w:r>
    </w:p>
    <w:p>
      <w:pPr>
        <w:spacing w:after="120" w:line="276" w:lineRule="auto"/>
      </w:pPr>
      <w:r>
        <w:rPr>
          <w:rFonts w:ascii="Arial" w:hAnsi="Arial"/>
          <w:b w:val="0"/>
          <w:i w:val="0"/>
          <w:color w:val="000000"/>
          <w:sz w:val="21"/>
        </w:rPr>
        <w:t>The submitted system is a local, evidence-traceable proof of concept for benchmarking individual cybersecurity audit reports. It can parse supplied JSON reports, retrieve source evidence, produce structured Yes/No/Insufficient Evidence decisions, retain question-level outputs and compute an audit-level score. [E4][E5][E8]</w:t>
      </w:r>
    </w:p>
    <w:p>
      <w:pPr>
        <w:spacing w:after="120" w:line="276" w:lineRule="auto"/>
      </w:pPr>
      <w:r>
        <w:rPr>
          <w:rFonts w:ascii="Arial" w:hAnsi="Arial"/>
          <w:b w:val="0"/>
          <w:i w:val="0"/>
          <w:color w:val="000000"/>
          <w:sz w:val="21"/>
        </w:rPr>
        <w:t>The strongest measured real-report result is 81.25% accuracy across 16 source-derived question/report pairs, with Recall@8 of 87.50%, Precision@8 of 14.43%, MRR of 0.2781, nDCG@8 of 0.4212, 100% implemented grounding rate and 13.66-second mean latency. [E5]</w:t>
      </w:r>
    </w:p>
    <w:p>
      <w:pPr>
        <w:spacing w:after="120" w:line="276" w:lineRule="auto"/>
      </w:pPr>
      <w:r>
        <w:rPr>
          <w:rFonts w:ascii="Arial" w:hAnsi="Arial"/>
          <w:b w:val="0"/>
          <w:i w:val="0"/>
          <w:color w:val="000000"/>
          <w:sz w:val="21"/>
        </w:rPr>
        <w:t>These results are implementation/integration evidence only. The dataset has two reports, 12 Yes labels, four No labels and zero Insufficient Evidence labels; therefore it cannot support a production or generalisation claim. [E5]</w:t>
      </w:r>
    </w:p>
    <w:p>
      <w:pPr>
        <w:pStyle w:val="Heading1"/>
      </w:pPr>
      <w:r>
        <w:t>Deliverable status</w:t>
      </w:r>
    </w:p>
    <w:tbl>
      <w:tblPr>
        <w:tblStyle w:val="TableGrid"/>
        <w:tblW w:type="dxa" w:w="9360"/>
        <w:tblLayout w:type="fixed"/>
        <w:tblLook w:firstColumn="1" w:firstRow="1" w:lastColumn="0" w:lastRow="0" w:noHBand="0" w:noVBand="1" w:val="04A0"/>
        <w:tblInd w:w="120" w:type="dxa"/>
      </w:tblPr>
      <w:tblGrid>
        <w:gridCol w:w="2050"/>
        <w:gridCol w:w="4840"/>
        <w:gridCol w:w="2470"/>
      </w:tblGrid>
      <w:tr>
        <w:tc>
          <w:tcPr>
            <w:tcW w:type="dxa" w:w="2050"/>
            <w:vAlign w:val="center"/>
            <w:tcMar>
              <w:top w:w="80" w:type="dxa"/>
              <w:start w:w="120" w:type="dxa"/>
              <w:bottom w:w="80" w:type="dxa"/>
              <w:end w:w="120" w:type="dxa"/>
            </w:tcMar>
          </w:tcPr>
          <w:p>
            <w:pPr>
              <w:spacing w:after="20"/>
            </w:pPr>
            <w:r/>
            <w:r>
              <w:rPr>
                <w:rFonts w:ascii="Arial" w:hAnsi="Arial"/>
                <w:b/>
                <w:i w:val="0"/>
                <w:color w:val="000000"/>
                <w:sz w:val="18"/>
              </w:rPr>
              <w:t>Work package</w:t>
            </w:r>
          </w:p>
        </w:tc>
        <w:tc>
          <w:tcPr>
            <w:tcW w:type="dxa" w:w="4840"/>
            <w:vAlign w:val="center"/>
            <w:tcMar>
              <w:top w:w="80" w:type="dxa"/>
              <w:start w:w="120" w:type="dxa"/>
              <w:bottom w:w="80" w:type="dxa"/>
              <w:end w:w="120" w:type="dxa"/>
            </w:tcMar>
          </w:tcPr>
          <w:p>
            <w:pPr>
              <w:spacing w:after="20"/>
            </w:pPr>
            <w:r/>
            <w:r>
              <w:rPr>
                <w:rFonts w:ascii="Arial" w:hAnsi="Arial"/>
                <w:b/>
                <w:i w:val="0"/>
                <w:color w:val="000000"/>
                <w:sz w:val="18"/>
              </w:rPr>
              <w:t>Delivered evidence</w:t>
            </w:r>
          </w:p>
        </w:tc>
        <w:tc>
          <w:tcPr>
            <w:tcW w:type="dxa" w:w="2470"/>
            <w:vAlign w:val="center"/>
            <w:tcMar>
              <w:top w:w="80" w:type="dxa"/>
              <w:start w:w="120" w:type="dxa"/>
              <w:bottom w:w="80" w:type="dxa"/>
              <w:end w:w="120" w:type="dxa"/>
            </w:tcMar>
          </w:tcPr>
          <w:p>
            <w:pPr>
              <w:spacing w:after="20"/>
            </w:pPr>
            <w:r/>
            <w:r>
              <w:rPr>
                <w:rFonts w:ascii="Arial" w:hAnsi="Arial"/>
                <w:b/>
                <w:i w:val="0"/>
                <w:color w:val="000000"/>
                <w:sz w:val="18"/>
              </w:rPr>
              <w:t>Status</w:t>
            </w:r>
          </w:p>
        </w:tc>
      </w:tr>
      <w:tr>
        <w:tc>
          <w:tcPr>
            <w:tcW w:type="dxa" w:w="2050"/>
            <w:vAlign w:val="center"/>
            <w:tcMar>
              <w:top w:w="80" w:type="dxa"/>
              <w:start w:w="120" w:type="dxa"/>
              <w:bottom w:w="80" w:type="dxa"/>
              <w:end w:w="120" w:type="dxa"/>
            </w:tcMar>
          </w:tcPr>
          <w:p>
            <w:pPr>
              <w:spacing w:after="20" w:line="252" w:lineRule="auto"/>
            </w:pPr>
            <w:r/>
            <w:r>
              <w:rPr>
                <w:rFonts w:ascii="Arial" w:hAnsi="Arial"/>
                <w:b w:val="0"/>
                <w:i w:val="0"/>
                <w:color w:val="000000"/>
                <w:sz w:val="18"/>
              </w:rPr>
              <w:t>WP1: LLM and ICL</w:t>
            </w:r>
          </w:p>
        </w:tc>
        <w:tc>
          <w:tcPr>
            <w:tcW w:type="dxa" w:w="4840"/>
            <w:vAlign w:val="center"/>
            <w:tcMar>
              <w:top w:w="80" w:type="dxa"/>
              <w:start w:w="120" w:type="dxa"/>
              <w:bottom w:w="80" w:type="dxa"/>
              <w:end w:w="120" w:type="dxa"/>
            </w:tcMar>
          </w:tcPr>
          <w:p>
            <w:pPr>
              <w:spacing w:after="20" w:line="252" w:lineRule="auto"/>
            </w:pPr>
            <w:r/>
            <w:r>
              <w:rPr>
                <w:rFonts w:ascii="Arial" w:hAnsi="Arial"/>
                <w:b w:val="0"/>
                <w:i w:val="0"/>
                <w:color w:val="000000"/>
                <w:sz w:val="18"/>
              </w:rPr>
              <w:t>D1-D3: candidate review, criteria, ICL implementations and controlled comparison plan</w:t>
            </w:r>
          </w:p>
        </w:tc>
        <w:tc>
          <w:tcPr>
            <w:tcW w:type="dxa" w:w="2470"/>
            <w:vAlign w:val="center"/>
            <w:tcMar>
              <w:top w:w="80" w:type="dxa"/>
              <w:start w:w="120" w:type="dxa"/>
              <w:bottom w:w="80" w:type="dxa"/>
              <w:end w:w="120" w:type="dxa"/>
            </w:tcMar>
          </w:tcPr>
          <w:p>
            <w:pPr>
              <w:spacing w:after="20" w:line="252" w:lineRule="auto"/>
            </w:pPr>
            <w:r/>
            <w:r>
              <w:rPr>
                <w:rFonts w:ascii="Arial" w:hAnsi="Arial"/>
                <w:b w:val="0"/>
                <w:i w:val="0"/>
                <w:color w:val="000000"/>
                <w:sz w:val="18"/>
              </w:rPr>
              <w:t>Implemented; comparative ICL/model evidence incomplete [E2][E3]</w:t>
            </w:r>
          </w:p>
        </w:tc>
      </w:tr>
      <w:tr>
        <w:tc>
          <w:tcPr>
            <w:tcW w:type="dxa" w:w="2050"/>
            <w:vAlign w:val="center"/>
            <w:tcMar>
              <w:top w:w="80" w:type="dxa"/>
              <w:start w:w="120" w:type="dxa"/>
              <w:bottom w:w="80" w:type="dxa"/>
              <w:end w:w="120" w:type="dxa"/>
            </w:tcMar>
          </w:tcPr>
          <w:p>
            <w:pPr>
              <w:spacing w:after="20" w:line="252" w:lineRule="auto"/>
            </w:pPr>
            <w:r/>
            <w:r>
              <w:rPr>
                <w:rFonts w:ascii="Arial" w:hAnsi="Arial"/>
                <w:b w:val="0"/>
                <w:i w:val="0"/>
                <w:color w:val="000000"/>
                <w:sz w:val="18"/>
              </w:rPr>
              <w:t>WP2: Retrieval and chatbot</w:t>
            </w:r>
          </w:p>
        </w:tc>
        <w:tc>
          <w:tcPr>
            <w:tcW w:type="dxa" w:w="4840"/>
            <w:vAlign w:val="center"/>
            <w:tcMar>
              <w:top w:w="80" w:type="dxa"/>
              <w:start w:w="120" w:type="dxa"/>
              <w:bottom w:w="80" w:type="dxa"/>
              <w:end w:w="120" w:type="dxa"/>
            </w:tcMar>
          </w:tcPr>
          <w:p>
            <w:pPr>
              <w:spacing w:after="20" w:line="252" w:lineRule="auto"/>
            </w:pPr>
            <w:r/>
            <w:r>
              <w:rPr>
                <w:rFonts w:ascii="Arial" w:hAnsi="Arial"/>
                <w:b w:val="0"/>
                <w:i w:val="0"/>
                <w:color w:val="000000"/>
                <w:sz w:val="18"/>
              </w:rPr>
              <w:t>D4-D7: parser, chunker, hybrid index, prompt, pipeline and offline check</w:t>
            </w:r>
          </w:p>
        </w:tc>
        <w:tc>
          <w:tcPr>
            <w:tcW w:type="dxa" w:w="2470"/>
            <w:vAlign w:val="center"/>
            <w:tcMar>
              <w:top w:w="80" w:type="dxa"/>
              <w:start w:w="120" w:type="dxa"/>
              <w:bottom w:w="80" w:type="dxa"/>
              <w:end w:w="120" w:type="dxa"/>
            </w:tcMar>
          </w:tcPr>
          <w:p>
            <w:pPr>
              <w:spacing w:after="20" w:line="252" w:lineRule="auto"/>
            </w:pPr>
            <w:r/>
            <w:r>
              <w:rPr>
                <w:rFonts w:ascii="Arial" w:hAnsi="Arial"/>
                <w:b w:val="0"/>
                <w:i w:val="0"/>
                <w:color w:val="000000"/>
                <w:sz w:val="18"/>
              </w:rPr>
              <w:t>Functional proof of concept [E7][E8]</w:t>
            </w:r>
          </w:p>
        </w:tc>
      </w:tr>
      <w:tr>
        <w:tc>
          <w:tcPr>
            <w:tcW w:type="dxa" w:w="2050"/>
            <w:vAlign w:val="center"/>
            <w:tcMar>
              <w:top w:w="80" w:type="dxa"/>
              <w:start w:w="120" w:type="dxa"/>
              <w:bottom w:w="80" w:type="dxa"/>
              <w:end w:w="120" w:type="dxa"/>
            </w:tcMar>
          </w:tcPr>
          <w:p>
            <w:pPr>
              <w:spacing w:after="20" w:line="252" w:lineRule="auto"/>
            </w:pPr>
            <w:r/>
            <w:r>
              <w:rPr>
                <w:rFonts w:ascii="Arial" w:hAnsi="Arial"/>
                <w:b w:val="0"/>
                <w:i w:val="0"/>
                <w:color w:val="000000"/>
                <w:sz w:val="18"/>
              </w:rPr>
              <w:t>WP3: Evaluation</w:t>
            </w:r>
          </w:p>
        </w:tc>
        <w:tc>
          <w:tcPr>
            <w:tcW w:type="dxa" w:w="4840"/>
            <w:vAlign w:val="center"/>
            <w:tcMar>
              <w:top w:w="80" w:type="dxa"/>
              <w:start w:w="120" w:type="dxa"/>
              <w:bottom w:w="80" w:type="dxa"/>
              <w:end w:w="120" w:type="dxa"/>
            </w:tcMar>
          </w:tcPr>
          <w:p>
            <w:pPr>
              <w:spacing w:after="20" w:line="252" w:lineRule="auto"/>
            </w:pPr>
            <w:r/>
            <w:r>
              <w:rPr>
                <w:rFonts w:ascii="Arial" w:hAnsi="Arial"/>
                <w:b w:val="0"/>
                <w:i w:val="0"/>
                <w:color w:val="000000"/>
                <w:sz w:val="18"/>
              </w:rPr>
              <w:t>D8-D11: labelled questions, harness, artifacts, metrics, error analysis and two-report POC</w:t>
            </w:r>
          </w:p>
        </w:tc>
        <w:tc>
          <w:tcPr>
            <w:tcW w:type="dxa" w:w="2470"/>
            <w:vAlign w:val="center"/>
            <w:tcMar>
              <w:top w:w="80" w:type="dxa"/>
              <w:start w:w="120" w:type="dxa"/>
              <w:bottom w:w="80" w:type="dxa"/>
              <w:end w:w="120" w:type="dxa"/>
            </w:tcMar>
          </w:tcPr>
          <w:p>
            <w:pPr>
              <w:spacing w:after="20" w:line="252" w:lineRule="auto"/>
            </w:pPr>
            <w:r/>
            <w:r>
              <w:rPr>
                <w:rFonts w:ascii="Arial" w:hAnsi="Arial"/>
                <w:b w:val="0"/>
                <w:i w:val="0"/>
                <w:color w:val="000000"/>
                <w:sz w:val="18"/>
              </w:rPr>
              <w:t>Measured integration evidence; release gate blocked [E4][E5]</w:t>
            </w:r>
          </w:p>
        </w:tc>
      </w:tr>
    </w:tbl>
    <w:p>
      <w:pPr>
        <w:spacing w:after="20"/>
      </w:pPr>
    </w:p>
    <w:p>
      <w:pPr>
        <w:pStyle w:val="Heading1"/>
      </w:pPr>
      <w:r>
        <w:t>Recommended 5-10 minute demo</w:t>
      </w:r>
    </w:p>
    <w:tbl>
      <w:tblPr>
        <w:tblStyle w:val="TableGrid"/>
        <w:tblW w:type="dxa" w:w="9360"/>
        <w:tblLayout w:type="fixed"/>
        <w:tblLook w:firstColumn="1" w:firstRow="1" w:lastColumn="0" w:lastRow="0" w:noHBand="0" w:noVBand="1" w:val="04A0"/>
        <w:tblInd w:w="120" w:type="dxa"/>
      </w:tblPr>
      <w:tblGrid>
        <w:gridCol w:w="1100"/>
        <w:gridCol w:w="4280"/>
        <w:gridCol w:w="3980"/>
      </w:tblGrid>
      <w:tr>
        <w:tc>
          <w:tcPr>
            <w:tcW w:type="dxa" w:w="1100"/>
            <w:vAlign w:val="center"/>
            <w:tcMar>
              <w:top w:w="80" w:type="dxa"/>
              <w:start w:w="120" w:type="dxa"/>
              <w:bottom w:w="80" w:type="dxa"/>
              <w:end w:w="120" w:type="dxa"/>
            </w:tcMar>
          </w:tcPr>
          <w:p>
            <w:pPr>
              <w:spacing w:after="20"/>
            </w:pPr>
            <w:r/>
            <w:r>
              <w:rPr>
                <w:rFonts w:ascii="Arial" w:hAnsi="Arial"/>
                <w:b/>
                <w:i w:val="0"/>
                <w:color w:val="000000"/>
                <w:sz w:val="18"/>
              </w:rPr>
              <w:t>Time</w:t>
            </w:r>
          </w:p>
        </w:tc>
        <w:tc>
          <w:tcPr>
            <w:tcW w:type="dxa" w:w="4280"/>
            <w:vAlign w:val="center"/>
            <w:tcMar>
              <w:top w:w="80" w:type="dxa"/>
              <w:start w:w="120" w:type="dxa"/>
              <w:bottom w:w="80" w:type="dxa"/>
              <w:end w:w="120" w:type="dxa"/>
            </w:tcMar>
          </w:tcPr>
          <w:p>
            <w:pPr>
              <w:spacing w:after="20"/>
            </w:pPr>
            <w:r/>
            <w:r>
              <w:rPr>
                <w:rFonts w:ascii="Arial" w:hAnsi="Arial"/>
                <w:b/>
                <w:i w:val="0"/>
                <w:color w:val="000000"/>
                <w:sz w:val="18"/>
              </w:rPr>
              <w:t>Demonstration step</w:t>
            </w:r>
          </w:p>
        </w:tc>
        <w:tc>
          <w:tcPr>
            <w:tcW w:type="dxa" w:w="3980"/>
            <w:vAlign w:val="center"/>
            <w:tcMar>
              <w:top w:w="80" w:type="dxa"/>
              <w:start w:w="120" w:type="dxa"/>
              <w:bottom w:w="80" w:type="dxa"/>
              <w:end w:w="120" w:type="dxa"/>
            </w:tcMar>
          </w:tcPr>
          <w:p>
            <w:pPr>
              <w:spacing w:after="20"/>
            </w:pPr>
            <w:r/>
            <w:r>
              <w:rPr>
                <w:rFonts w:ascii="Arial" w:hAnsi="Arial"/>
                <w:b/>
                <w:i w:val="0"/>
                <w:color w:val="000000"/>
                <w:sz w:val="18"/>
              </w:rPr>
              <w:t>Evidence to show</w:t>
            </w:r>
          </w:p>
        </w:tc>
      </w:tr>
      <w:tr>
        <w:tc>
          <w:tcPr>
            <w:tcW w:type="dxa" w:w="1100"/>
            <w:vAlign w:val="center"/>
            <w:tcMar>
              <w:top w:w="80" w:type="dxa"/>
              <w:start w:w="120" w:type="dxa"/>
              <w:bottom w:w="80" w:type="dxa"/>
              <w:end w:w="120" w:type="dxa"/>
            </w:tcMar>
          </w:tcPr>
          <w:p>
            <w:pPr>
              <w:spacing w:after="20" w:line="252" w:lineRule="auto"/>
            </w:pPr>
            <w:r/>
            <w:r>
              <w:rPr>
                <w:rFonts w:ascii="Arial" w:hAnsi="Arial"/>
                <w:b w:val="0"/>
                <w:i w:val="0"/>
                <w:color w:val="000000"/>
                <w:sz w:val="18"/>
              </w:rPr>
              <w:t>0:00-1:00</w:t>
            </w:r>
          </w:p>
        </w:tc>
        <w:tc>
          <w:tcPr>
            <w:tcW w:type="dxa" w:w="4280"/>
            <w:vAlign w:val="center"/>
            <w:tcMar>
              <w:top w:w="80" w:type="dxa"/>
              <w:start w:w="120" w:type="dxa"/>
              <w:bottom w:w="80" w:type="dxa"/>
              <w:end w:w="120" w:type="dxa"/>
            </w:tcMar>
          </w:tcPr>
          <w:p>
            <w:pPr>
              <w:spacing w:after="20" w:line="252" w:lineRule="auto"/>
            </w:pPr>
            <w:r/>
            <w:r>
              <w:rPr>
                <w:rFonts w:ascii="Arial" w:hAnsi="Arial"/>
                <w:b w:val="0"/>
                <w:i w:val="0"/>
                <w:color w:val="000000"/>
                <w:sz w:val="18"/>
              </w:rPr>
              <w:t>State objective, benchmark scoring flow and air-gapped constraint</w:t>
            </w:r>
          </w:p>
        </w:tc>
        <w:tc>
          <w:tcPr>
            <w:tcW w:type="dxa" w:w="3980"/>
            <w:vAlign w:val="center"/>
            <w:tcMar>
              <w:top w:w="80" w:type="dxa"/>
              <w:start w:w="120" w:type="dxa"/>
              <w:bottom w:w="80" w:type="dxa"/>
              <w:end w:w="120" w:type="dxa"/>
            </w:tcMar>
          </w:tcPr>
          <w:p>
            <w:pPr>
              <w:spacing w:after="20" w:line="252" w:lineRule="auto"/>
            </w:pPr>
            <w:r/>
            <w:r>
              <w:rPr>
                <w:rFonts w:ascii="Arial" w:hAnsi="Arial"/>
                <w:b w:val="0"/>
                <w:i w:val="0"/>
                <w:color w:val="000000"/>
                <w:sz w:val="18"/>
              </w:rPr>
              <w:t>This report and D1</w:t>
            </w:r>
          </w:p>
        </w:tc>
      </w:tr>
      <w:tr>
        <w:tc>
          <w:tcPr>
            <w:tcW w:type="dxa" w:w="1100"/>
            <w:vAlign w:val="center"/>
            <w:tcMar>
              <w:top w:w="80" w:type="dxa"/>
              <w:start w:w="120" w:type="dxa"/>
              <w:bottom w:w="80" w:type="dxa"/>
              <w:end w:w="120" w:type="dxa"/>
            </w:tcMar>
          </w:tcPr>
          <w:p>
            <w:pPr>
              <w:spacing w:after="20" w:line="252" w:lineRule="auto"/>
            </w:pPr>
            <w:r/>
            <w:r>
              <w:rPr>
                <w:rFonts w:ascii="Arial" w:hAnsi="Arial"/>
                <w:b w:val="0"/>
                <w:i w:val="0"/>
                <w:color w:val="000000"/>
                <w:sz w:val="18"/>
              </w:rPr>
              <w:t>1:00-2:30</w:t>
            </w:r>
          </w:p>
        </w:tc>
        <w:tc>
          <w:tcPr>
            <w:tcW w:type="dxa" w:w="4280"/>
            <w:vAlign w:val="center"/>
            <w:tcMar>
              <w:top w:w="80" w:type="dxa"/>
              <w:start w:w="120" w:type="dxa"/>
              <w:bottom w:w="80" w:type="dxa"/>
              <w:end w:w="120" w:type="dxa"/>
            </w:tcMar>
          </w:tcPr>
          <w:p>
            <w:pPr>
              <w:spacing w:after="20" w:line="252" w:lineRule="auto"/>
            </w:pPr>
            <w:r/>
            <w:r>
              <w:rPr>
                <w:rFonts w:ascii="Arial" w:hAnsi="Arial"/>
                <w:b w:val="0"/>
                <w:i w:val="0"/>
                <w:color w:val="000000"/>
                <w:sz w:val="18"/>
              </w:rPr>
              <w:t>Show parser, structured chunks and hybrid retrieval design</w:t>
            </w:r>
          </w:p>
        </w:tc>
        <w:tc>
          <w:tcPr>
            <w:tcW w:type="dxa" w:w="3980"/>
            <w:vAlign w:val="center"/>
            <w:tcMar>
              <w:top w:w="80" w:type="dxa"/>
              <w:start w:w="120" w:type="dxa"/>
              <w:bottom w:w="80" w:type="dxa"/>
              <w:end w:w="120" w:type="dxa"/>
            </w:tcMar>
          </w:tcPr>
          <w:p>
            <w:pPr>
              <w:spacing w:after="20" w:line="252" w:lineRule="auto"/>
            </w:pPr>
            <w:r/>
            <w:r>
              <w:rPr>
                <w:rFonts w:ascii="Arial" w:hAnsi="Arial"/>
                <w:b w:val="0"/>
                <w:i w:val="0"/>
                <w:color w:val="000000"/>
                <w:sz w:val="18"/>
              </w:rPr>
              <w:t>D4; src module map [E8]</w:t>
            </w:r>
          </w:p>
        </w:tc>
      </w:tr>
      <w:tr>
        <w:tc>
          <w:tcPr>
            <w:tcW w:type="dxa" w:w="1100"/>
            <w:vAlign w:val="center"/>
            <w:tcMar>
              <w:top w:w="80" w:type="dxa"/>
              <w:start w:w="120" w:type="dxa"/>
              <w:bottom w:w="80" w:type="dxa"/>
              <w:end w:w="120" w:type="dxa"/>
            </w:tcMar>
          </w:tcPr>
          <w:p>
            <w:pPr>
              <w:spacing w:after="20" w:line="252" w:lineRule="auto"/>
            </w:pPr>
            <w:r/>
            <w:r>
              <w:rPr>
                <w:rFonts w:ascii="Arial" w:hAnsi="Arial"/>
                <w:b w:val="0"/>
                <w:i w:val="0"/>
                <w:color w:val="000000"/>
                <w:sz w:val="18"/>
              </w:rPr>
              <w:t>2:30-4:00</w:t>
            </w:r>
          </w:p>
        </w:tc>
        <w:tc>
          <w:tcPr>
            <w:tcW w:type="dxa" w:w="4280"/>
            <w:vAlign w:val="center"/>
            <w:tcMar>
              <w:top w:w="80" w:type="dxa"/>
              <w:start w:w="120" w:type="dxa"/>
              <w:bottom w:w="80" w:type="dxa"/>
              <w:end w:w="120" w:type="dxa"/>
            </w:tcMar>
          </w:tcPr>
          <w:p>
            <w:pPr>
              <w:spacing w:after="20" w:line="252" w:lineRule="auto"/>
            </w:pPr>
            <w:r/>
            <w:r>
              <w:rPr>
                <w:rFonts w:ascii="Arial" w:hAnsi="Arial"/>
                <w:b w:val="0"/>
                <w:i w:val="0"/>
                <w:color w:val="000000"/>
                <w:sz w:val="18"/>
              </w:rPr>
              <w:t>Show v2 evidence-first prompt and one question-level record</w:t>
            </w:r>
          </w:p>
        </w:tc>
        <w:tc>
          <w:tcPr>
            <w:tcW w:type="dxa" w:w="3980"/>
            <w:vAlign w:val="center"/>
            <w:tcMar>
              <w:top w:w="80" w:type="dxa"/>
              <w:start w:w="120" w:type="dxa"/>
              <w:bottom w:w="80" w:type="dxa"/>
              <w:end w:w="120" w:type="dxa"/>
            </w:tcMar>
          </w:tcPr>
          <w:p>
            <w:pPr>
              <w:spacing w:after="20" w:line="252" w:lineRule="auto"/>
            </w:pPr>
            <w:r/>
            <w:r>
              <w:rPr>
                <w:rFonts w:ascii="Arial" w:hAnsi="Arial"/>
                <w:b w:val="0"/>
                <w:i w:val="0"/>
                <w:color w:val="000000"/>
                <w:sz w:val="18"/>
              </w:rPr>
              <w:t>D6; question_level_results.json [E5]</w:t>
            </w:r>
          </w:p>
        </w:tc>
      </w:tr>
      <w:tr>
        <w:tc>
          <w:tcPr>
            <w:tcW w:type="dxa" w:w="1100"/>
            <w:vAlign w:val="center"/>
            <w:tcMar>
              <w:top w:w="80" w:type="dxa"/>
              <w:start w:w="120" w:type="dxa"/>
              <w:bottom w:w="80" w:type="dxa"/>
              <w:end w:w="120" w:type="dxa"/>
            </w:tcMar>
          </w:tcPr>
          <w:p>
            <w:pPr>
              <w:spacing w:after="20" w:line="252" w:lineRule="auto"/>
            </w:pPr>
            <w:r/>
            <w:r>
              <w:rPr>
                <w:rFonts w:ascii="Arial" w:hAnsi="Arial"/>
                <w:b w:val="0"/>
                <w:i w:val="0"/>
                <w:color w:val="000000"/>
                <w:sz w:val="18"/>
              </w:rPr>
              <w:t>4:00-5:30</w:t>
            </w:r>
          </w:p>
        </w:tc>
        <w:tc>
          <w:tcPr>
            <w:tcW w:type="dxa" w:w="4280"/>
            <w:vAlign w:val="center"/>
            <w:tcMar>
              <w:top w:w="80" w:type="dxa"/>
              <w:start w:w="120" w:type="dxa"/>
              <w:bottom w:w="80" w:type="dxa"/>
              <w:end w:w="120" w:type="dxa"/>
            </w:tcMar>
          </w:tcPr>
          <w:p>
            <w:pPr>
              <w:spacing w:after="20" w:line="252" w:lineRule="auto"/>
            </w:pPr>
            <w:r/>
            <w:r>
              <w:rPr>
                <w:rFonts w:ascii="Arial" w:hAnsi="Arial"/>
                <w:b w:val="0"/>
                <w:i w:val="0"/>
                <w:color w:val="000000"/>
                <w:sz w:val="18"/>
              </w:rPr>
              <w:t>Show two-report metrics and audit scores</w:t>
            </w:r>
          </w:p>
        </w:tc>
        <w:tc>
          <w:tcPr>
            <w:tcW w:type="dxa" w:w="3980"/>
            <w:vAlign w:val="center"/>
            <w:tcMar>
              <w:top w:w="80" w:type="dxa"/>
              <w:start w:w="120" w:type="dxa"/>
              <w:bottom w:w="80" w:type="dxa"/>
              <w:end w:w="120" w:type="dxa"/>
            </w:tcMar>
          </w:tcPr>
          <w:p>
            <w:pPr>
              <w:spacing w:after="20" w:line="252" w:lineRule="auto"/>
            </w:pPr>
            <w:r/>
            <w:r>
              <w:rPr>
                <w:rFonts w:ascii="Arial" w:hAnsi="Arial"/>
                <w:b w:val="0"/>
                <w:i w:val="0"/>
                <w:color w:val="000000"/>
                <w:sz w:val="18"/>
              </w:rPr>
              <w:t>D10; metric and score JSON [E5]</w:t>
            </w:r>
          </w:p>
        </w:tc>
      </w:tr>
      <w:tr>
        <w:tc>
          <w:tcPr>
            <w:tcW w:type="dxa" w:w="1100"/>
            <w:vAlign w:val="center"/>
            <w:tcMar>
              <w:top w:w="80" w:type="dxa"/>
              <w:start w:w="120" w:type="dxa"/>
              <w:bottom w:w="80" w:type="dxa"/>
              <w:end w:w="120" w:type="dxa"/>
            </w:tcMar>
          </w:tcPr>
          <w:p>
            <w:pPr>
              <w:spacing w:after="20" w:line="252" w:lineRule="auto"/>
            </w:pPr>
            <w:r/>
            <w:r>
              <w:rPr>
                <w:rFonts w:ascii="Arial" w:hAnsi="Arial"/>
                <w:b w:val="0"/>
                <w:i w:val="0"/>
                <w:color w:val="000000"/>
                <w:sz w:val="18"/>
              </w:rPr>
              <w:t>5:30-7:00</w:t>
            </w:r>
          </w:p>
        </w:tc>
        <w:tc>
          <w:tcPr>
            <w:tcW w:type="dxa" w:w="4280"/>
            <w:vAlign w:val="center"/>
            <w:tcMar>
              <w:top w:w="80" w:type="dxa"/>
              <w:start w:w="120" w:type="dxa"/>
              <w:bottom w:w="80" w:type="dxa"/>
              <w:end w:w="120" w:type="dxa"/>
            </w:tcMar>
          </w:tcPr>
          <w:p>
            <w:pPr>
              <w:spacing w:after="20" w:line="252" w:lineRule="auto"/>
            </w:pPr>
            <w:r/>
            <w:r>
              <w:rPr>
                <w:rFonts w:ascii="Arial" w:hAnsi="Arial"/>
                <w:b w:val="0"/>
                <w:i w:val="0"/>
                <w:color w:val="000000"/>
                <w:sz w:val="18"/>
              </w:rPr>
              <w:t>Run or explain offline mock verification</w:t>
            </w:r>
          </w:p>
        </w:tc>
        <w:tc>
          <w:tcPr>
            <w:tcW w:type="dxa" w:w="3980"/>
            <w:vAlign w:val="center"/>
            <w:tcMar>
              <w:top w:w="80" w:type="dxa"/>
              <w:start w:w="120" w:type="dxa"/>
              <w:bottom w:w="80" w:type="dxa"/>
              <w:end w:w="120" w:type="dxa"/>
            </w:tcMar>
          </w:tcPr>
          <w:p>
            <w:pPr>
              <w:spacing w:after="20" w:line="252" w:lineRule="auto"/>
            </w:pPr>
            <w:r/>
            <w:r>
              <w:rPr>
                <w:rFonts w:ascii="Arial" w:hAnsi="Arial"/>
                <w:b w:val="0"/>
                <w:i w:val="0"/>
                <w:color w:val="000000"/>
                <w:sz w:val="18"/>
              </w:rPr>
              <w:t>D7/D9; 28 Aug test record [E7]</w:t>
            </w:r>
          </w:p>
        </w:tc>
      </w:tr>
      <w:tr>
        <w:tc>
          <w:tcPr>
            <w:tcW w:type="dxa" w:w="1100"/>
            <w:vAlign w:val="center"/>
            <w:tcMar>
              <w:top w:w="80" w:type="dxa"/>
              <w:start w:w="120" w:type="dxa"/>
              <w:bottom w:w="80" w:type="dxa"/>
              <w:end w:w="120" w:type="dxa"/>
            </w:tcMar>
          </w:tcPr>
          <w:p>
            <w:pPr>
              <w:spacing w:after="20" w:line="252" w:lineRule="auto"/>
            </w:pPr>
            <w:r/>
            <w:r>
              <w:rPr>
                <w:rFonts w:ascii="Arial" w:hAnsi="Arial"/>
                <w:b w:val="0"/>
                <w:i w:val="0"/>
                <w:color w:val="000000"/>
                <w:sz w:val="18"/>
              </w:rPr>
              <w:t>7:00-9:00</w:t>
            </w:r>
          </w:p>
        </w:tc>
        <w:tc>
          <w:tcPr>
            <w:tcW w:type="dxa" w:w="4280"/>
            <w:vAlign w:val="center"/>
            <w:tcMar>
              <w:top w:w="80" w:type="dxa"/>
              <w:start w:w="120" w:type="dxa"/>
              <w:bottom w:w="80" w:type="dxa"/>
              <w:end w:w="120" w:type="dxa"/>
            </w:tcMar>
          </w:tcPr>
          <w:p>
            <w:pPr>
              <w:spacing w:after="20" w:line="252" w:lineRule="auto"/>
            </w:pPr>
            <w:r/>
            <w:r>
              <w:rPr>
                <w:rFonts w:ascii="Arial" w:hAnsi="Arial"/>
                <w:b w:val="0"/>
                <w:i w:val="0"/>
                <w:color w:val="000000"/>
                <w:sz w:val="18"/>
              </w:rPr>
              <w:t>Explain limitations, release gate and next experiment</w:t>
            </w:r>
          </w:p>
        </w:tc>
        <w:tc>
          <w:tcPr>
            <w:tcW w:type="dxa" w:w="3980"/>
            <w:vAlign w:val="center"/>
            <w:tcMar>
              <w:top w:w="80" w:type="dxa"/>
              <w:start w:w="120" w:type="dxa"/>
              <w:bottom w:w="80" w:type="dxa"/>
              <w:end w:w="120" w:type="dxa"/>
            </w:tcMar>
          </w:tcPr>
          <w:p>
            <w:pPr>
              <w:spacing w:after="20" w:line="252" w:lineRule="auto"/>
            </w:pPr>
            <w:r/>
            <w:r>
              <w:rPr>
                <w:rFonts w:ascii="Arial" w:hAnsi="Arial"/>
                <w:b w:val="0"/>
                <w:i w:val="0"/>
                <w:color w:val="000000"/>
                <w:sz w:val="18"/>
              </w:rPr>
              <w:t>D8-D10; blocked evidence boundary [E5]</w:t>
            </w:r>
          </w:p>
        </w:tc>
      </w:tr>
    </w:tbl>
    <w:p>
      <w:pPr>
        <w:spacing w:after="20"/>
      </w:pPr>
    </w:p>
    <w:p>
      <w:pPr>
        <w:pStyle w:val="Heading1"/>
      </w:pPr>
      <w:r>
        <w:t>Next work justified by the results</w:t>
      </w:r>
    </w:p>
    <w:p>
      <w:pPr>
        <w:spacing w:after="120" w:line="276" w:lineRule="auto"/>
      </w:pPr>
      <w:r>
        <w:rPr>
          <w:rFonts w:ascii="Arial" w:hAnsi="Arial"/>
          <w:b w:val="0"/>
          <w:i w:val="0"/>
          <w:color w:val="000000"/>
          <w:sz w:val="21"/>
        </w:rPr>
        <w:t>First, independently label a report-level held-out set with enough No and Insufficient Evidence cases. Second, run controlled ablations of ICL, chunking, hybrid retrieval, reranking and CRAG. Third, evaluate claim entailment, contradictions, OCR noise and visual evidence if that input scope is accepted. [E5][E8]</w:t>
      </w:r>
    </w:p>
    <w:p>
      <w:pPr>
        <w:spacing w:after="120" w:line="276" w:lineRule="auto"/>
      </w:pPr>
      <w:r>
        <w:rPr>
          <w:rFonts w:ascii="Arial" w:hAnsi="Arial"/>
          <w:b w:val="0"/>
          <w:i w:val="0"/>
          <w:color w:val="000000"/>
          <w:sz w:val="21"/>
        </w:rPr>
        <w:t>Do not add late interaction, graph or visual complexity by default. Each should be selected only if it improves the frozen evaluation under its intended question type. [S2][S3][S6]</w:t>
      </w:r>
    </w:p>
    <w:p>
      <w:pPr>
        <w:pStyle w:val="Heading1"/>
      </w:pPr>
      <w:r>
        <w:t>Evidence and external sources</w:t>
      </w:r>
    </w:p>
    <w:p>
      <w:pPr>
        <w:spacing w:after="120" w:line="276" w:lineRule="auto"/>
      </w:pPr>
      <w:r>
        <w:rPr>
          <w:rFonts w:ascii="Arial" w:hAnsi="Arial"/>
          <w:b w:val="0"/>
          <w:i w:val="0"/>
          <w:color w:val="000000"/>
          <w:sz w:val="21"/>
        </w:rPr>
        <w:t>The following repository artifacts and literature sources substantiate this report. No external source is used to claim an unmeasured project result.</w:t>
      </w:r>
    </w:p>
    <w:p>
      <w:pPr>
        <w:pStyle w:val="Heading1"/>
      </w:pPr>
      <w:r>
        <w:t>Final review claims and support</w:t>
      </w:r>
    </w:p>
    <w:tbl>
      <w:tblPr>
        <w:tblStyle w:val="TableGrid"/>
        <w:tblW w:type="dxa" w:w="9460"/>
        <w:tblLayout w:type="fixed"/>
        <w:tblLook w:firstColumn="1" w:firstRow="1" w:lastColumn="0" w:lastRow="0" w:noHBand="0" w:noVBand="1" w:val="04A0"/>
        <w:tblInd w:w="120" w:type="dxa"/>
      </w:tblPr>
      <w:tblGrid>
        <w:gridCol w:w="2350"/>
        <w:gridCol w:w="4270"/>
        <w:gridCol w:w="2840"/>
      </w:tblGrid>
      <w:tr>
        <w:tc>
          <w:tcPr>
            <w:tcW w:type="dxa" w:w="2350"/>
            <w:vAlign w:val="center"/>
            <w:tcMar>
              <w:top w:w="80" w:type="dxa"/>
              <w:start w:w="120" w:type="dxa"/>
              <w:bottom w:w="80" w:type="dxa"/>
              <w:end w:w="120" w:type="dxa"/>
            </w:tcMar>
          </w:tcPr>
          <w:p>
            <w:pPr>
              <w:spacing w:after="20"/>
            </w:pPr>
            <w:r/>
            <w:r>
              <w:rPr>
                <w:rFonts w:ascii="Arial" w:hAnsi="Arial"/>
                <w:b/>
                <w:i w:val="0"/>
                <w:color w:val="000000"/>
                <w:sz w:val="18"/>
              </w:rPr>
              <w:t>Final claim</w:t>
            </w:r>
          </w:p>
        </w:tc>
        <w:tc>
          <w:tcPr>
            <w:tcW w:type="dxa" w:w="4270"/>
            <w:vAlign w:val="center"/>
            <w:tcMar>
              <w:top w:w="80" w:type="dxa"/>
              <w:start w:w="120" w:type="dxa"/>
              <w:bottom w:w="80" w:type="dxa"/>
              <w:end w:w="120" w:type="dxa"/>
            </w:tcMar>
          </w:tcPr>
          <w:p>
            <w:pPr>
              <w:spacing w:after="20"/>
            </w:pPr>
            <w:r/>
            <w:r>
              <w:rPr>
                <w:rFonts w:ascii="Arial" w:hAnsi="Arial"/>
                <w:b/>
                <w:i w:val="0"/>
                <w:color w:val="000000"/>
                <w:sz w:val="18"/>
              </w:rPr>
              <w:t>Supporting evidence</w:t>
            </w:r>
          </w:p>
        </w:tc>
        <w:tc>
          <w:tcPr>
            <w:tcW w:type="dxa" w:w="2840"/>
            <w:vAlign w:val="center"/>
            <w:tcMar>
              <w:top w:w="80" w:type="dxa"/>
              <w:start w:w="120" w:type="dxa"/>
              <w:bottom w:w="80" w:type="dxa"/>
              <w:end w:w="120" w:type="dxa"/>
            </w:tcMar>
          </w:tcPr>
          <w:p>
            <w:pPr>
              <w:spacing w:after="20"/>
            </w:pPr>
            <w:r/>
            <w:r>
              <w:rPr>
                <w:rFonts w:ascii="Arial" w:hAnsi="Arial"/>
                <w:b/>
                <w:i w:val="0"/>
                <w:color w:val="000000"/>
                <w:sz w:val="18"/>
              </w:rPr>
              <w:t>Boundary</w:t>
            </w:r>
          </w:p>
        </w:tc>
      </w:tr>
      <w:tr>
        <w:tc>
          <w:tcPr>
            <w:tcW w:type="dxa" w:w="2350"/>
            <w:vAlign w:val="center"/>
            <w:tcMar>
              <w:top w:w="80" w:type="dxa"/>
              <w:start w:w="120" w:type="dxa"/>
              <w:bottom w:w="80" w:type="dxa"/>
              <w:end w:w="120" w:type="dxa"/>
            </w:tcMar>
          </w:tcPr>
          <w:p>
            <w:pPr>
              <w:spacing w:after="20" w:line="252" w:lineRule="auto"/>
            </w:pPr>
            <w:r/>
            <w:r>
              <w:rPr>
                <w:rFonts w:ascii="Arial" w:hAnsi="Arial"/>
                <w:b w:val="0"/>
                <w:i w:val="0"/>
                <w:color w:val="000000"/>
                <w:sz w:val="18"/>
              </w:rPr>
              <w:t>A local RAG pipeline was implemented</w:t>
            </w:r>
          </w:p>
        </w:tc>
        <w:tc>
          <w:tcPr>
            <w:tcW w:type="dxa" w:w="4270"/>
            <w:vAlign w:val="center"/>
            <w:tcMar>
              <w:top w:w="80" w:type="dxa"/>
              <w:start w:w="120" w:type="dxa"/>
              <w:bottom w:w="80" w:type="dxa"/>
              <w:end w:w="120" w:type="dxa"/>
            </w:tcMar>
          </w:tcPr>
          <w:p>
            <w:pPr>
              <w:spacing w:after="20" w:line="252" w:lineRule="auto"/>
            </w:pPr>
            <w:r/>
            <w:r>
              <w:rPr>
                <w:rFonts w:ascii="Arial" w:hAnsi="Arial"/>
                <w:b w:val="0"/>
                <w:i w:val="0"/>
                <w:color w:val="000000"/>
                <w:sz w:val="18"/>
              </w:rPr>
              <w:t>Parser, hybrid index, prompt, harness and 16-pair run. [E4][E8]</w:t>
            </w:r>
          </w:p>
        </w:tc>
        <w:tc>
          <w:tcPr>
            <w:tcW w:type="dxa" w:w="2840"/>
            <w:vAlign w:val="center"/>
            <w:tcMar>
              <w:top w:w="80" w:type="dxa"/>
              <w:start w:w="120" w:type="dxa"/>
              <w:bottom w:w="80" w:type="dxa"/>
              <w:end w:w="120" w:type="dxa"/>
            </w:tcMar>
          </w:tcPr>
          <w:p>
            <w:pPr>
              <w:spacing w:after="20" w:line="252" w:lineRule="auto"/>
            </w:pPr>
            <w:r/>
            <w:r>
              <w:rPr>
                <w:rFonts w:ascii="Arial" w:hAnsi="Arial"/>
                <w:b w:val="0"/>
                <w:i w:val="0"/>
                <w:color w:val="000000"/>
                <w:sz w:val="18"/>
              </w:rPr>
              <w:t>Text/JSON scope; visual understanding unvalidated.</w:t>
            </w:r>
          </w:p>
        </w:tc>
      </w:tr>
      <w:tr>
        <w:tc>
          <w:tcPr>
            <w:tcW w:type="dxa" w:w="2350"/>
            <w:vAlign w:val="center"/>
            <w:tcMar>
              <w:top w:w="80" w:type="dxa"/>
              <w:start w:w="120" w:type="dxa"/>
              <w:bottom w:w="80" w:type="dxa"/>
              <w:end w:w="120" w:type="dxa"/>
            </w:tcMar>
          </w:tcPr>
          <w:p>
            <w:pPr>
              <w:spacing w:after="20" w:line="252" w:lineRule="auto"/>
            </w:pPr>
            <w:r/>
            <w:r>
              <w:rPr>
                <w:rFonts w:ascii="Arial" w:hAnsi="Arial"/>
                <w:b w:val="0"/>
                <w:i w:val="0"/>
                <w:color w:val="000000"/>
                <w:sz w:val="18"/>
              </w:rPr>
              <w:t>Architecture choices were tested</w:t>
            </w:r>
          </w:p>
        </w:tc>
        <w:tc>
          <w:tcPr>
            <w:tcW w:type="dxa" w:w="4270"/>
            <w:vAlign w:val="center"/>
            <w:tcMar>
              <w:top w:w="80" w:type="dxa"/>
              <w:start w:w="120" w:type="dxa"/>
              <w:bottom w:w="80" w:type="dxa"/>
              <w:end w:w="120" w:type="dxa"/>
            </w:tcMar>
          </w:tcPr>
          <w:p>
            <w:pPr>
              <w:spacing w:after="20" w:line="252" w:lineRule="auto"/>
            </w:pPr>
            <w:r/>
            <w:r>
              <w:rPr>
                <w:rFonts w:ascii="Arial" w:hAnsi="Arial"/>
                <w:b w:val="0"/>
                <w:i w:val="0"/>
                <w:color w:val="000000"/>
                <w:sz w:val="18"/>
              </w:rPr>
              <w:t>LLM, ICL, prompt, retrieval, CRAG and chunking comparisons. [E10]</w:t>
            </w:r>
          </w:p>
        </w:tc>
        <w:tc>
          <w:tcPr>
            <w:tcW w:type="dxa" w:w="2840"/>
            <w:vAlign w:val="center"/>
            <w:tcMar>
              <w:top w:w="80" w:type="dxa"/>
              <w:start w:w="120" w:type="dxa"/>
              <w:bottom w:w="80" w:type="dxa"/>
              <w:end w:w="120" w:type="dxa"/>
            </w:tcMar>
          </w:tcPr>
          <w:p>
            <w:pPr>
              <w:spacing w:after="20" w:line="252" w:lineRule="auto"/>
            </w:pPr>
            <w:r/>
            <w:r>
              <w:rPr>
                <w:rFonts w:ascii="Arial" w:hAnsi="Arial"/>
                <w:b w:val="0"/>
                <w:i w:val="0"/>
                <w:color w:val="000000"/>
                <w:sz w:val="18"/>
              </w:rPr>
              <w:t>Small source-derived dataset.</w:t>
            </w:r>
          </w:p>
        </w:tc>
      </w:tr>
      <w:tr>
        <w:tc>
          <w:tcPr>
            <w:tcW w:type="dxa" w:w="2350"/>
            <w:vAlign w:val="center"/>
            <w:tcMar>
              <w:top w:w="80" w:type="dxa"/>
              <w:start w:w="120" w:type="dxa"/>
              <w:bottom w:w="80" w:type="dxa"/>
              <w:end w:w="120" w:type="dxa"/>
            </w:tcMar>
          </w:tcPr>
          <w:p>
            <w:pPr>
              <w:spacing w:after="20" w:line="252" w:lineRule="auto"/>
            </w:pPr>
            <w:r/>
            <w:r>
              <w:rPr>
                <w:rFonts w:ascii="Arial" w:hAnsi="Arial"/>
                <w:b w:val="0"/>
                <w:i w:val="0"/>
                <w:color w:val="000000"/>
                <w:sz w:val="18"/>
              </w:rPr>
              <w:t>Scores are traceable</w:t>
            </w:r>
          </w:p>
        </w:tc>
        <w:tc>
          <w:tcPr>
            <w:tcW w:type="dxa" w:w="4270"/>
            <w:vAlign w:val="center"/>
            <w:tcMar>
              <w:top w:w="80" w:type="dxa"/>
              <w:start w:w="120" w:type="dxa"/>
              <w:bottom w:w="80" w:type="dxa"/>
              <w:end w:w="120" w:type="dxa"/>
            </w:tcMar>
          </w:tcPr>
          <w:p>
            <w:pPr>
              <w:spacing w:after="20" w:line="252" w:lineRule="auto"/>
            </w:pPr>
            <w:r/>
            <w:r>
              <w:rPr>
                <w:rFonts w:ascii="Arial" w:hAnsi="Arial"/>
                <w:b w:val="0"/>
                <w:i w:val="0"/>
                <w:color w:val="000000"/>
                <w:sz w:val="18"/>
              </w:rPr>
              <w:t>Question records, metrics, audit scores, logs and config. [E4][E5]</w:t>
            </w:r>
          </w:p>
        </w:tc>
        <w:tc>
          <w:tcPr>
            <w:tcW w:type="dxa" w:w="2840"/>
            <w:vAlign w:val="center"/>
            <w:tcMar>
              <w:top w:w="80" w:type="dxa"/>
              <w:start w:w="120" w:type="dxa"/>
              <w:bottom w:w="80" w:type="dxa"/>
              <w:end w:w="120" w:type="dxa"/>
            </w:tcMar>
          </w:tcPr>
          <w:p>
            <w:pPr>
              <w:spacing w:after="20" w:line="252" w:lineRule="auto"/>
            </w:pPr>
            <w:r/>
            <w:r>
              <w:rPr>
                <w:rFonts w:ascii="Arial" w:hAnsi="Arial"/>
                <w:b w:val="0"/>
                <w:i w:val="0"/>
                <w:color w:val="000000"/>
                <w:sz w:val="18"/>
              </w:rPr>
              <w:t>Gold labels are not independent expert labels.</w:t>
            </w:r>
          </w:p>
        </w:tc>
      </w:tr>
      <w:tr>
        <w:tc>
          <w:tcPr>
            <w:tcW w:type="dxa" w:w="2350"/>
            <w:vAlign w:val="center"/>
            <w:tcMar>
              <w:top w:w="80" w:type="dxa"/>
              <w:start w:w="120" w:type="dxa"/>
              <w:bottom w:w="80" w:type="dxa"/>
              <w:end w:w="120" w:type="dxa"/>
            </w:tcMar>
          </w:tcPr>
          <w:p>
            <w:pPr>
              <w:spacing w:after="20" w:line="252" w:lineRule="auto"/>
            </w:pPr>
            <w:r/>
            <w:r>
              <w:rPr>
                <w:rFonts w:ascii="Arial" w:hAnsi="Arial"/>
                <w:b w:val="0"/>
                <w:i w:val="0"/>
                <w:color w:val="000000"/>
                <w:sz w:val="18"/>
              </w:rPr>
              <w:t>The POC is technically credible</w:t>
            </w:r>
          </w:p>
        </w:tc>
        <w:tc>
          <w:tcPr>
            <w:tcW w:type="dxa" w:w="4270"/>
            <w:vAlign w:val="center"/>
            <w:tcMar>
              <w:top w:w="80" w:type="dxa"/>
              <w:start w:w="120" w:type="dxa"/>
              <w:bottom w:w="80" w:type="dxa"/>
              <w:end w:w="120" w:type="dxa"/>
            </w:tcMar>
          </w:tcPr>
          <w:p>
            <w:pPr>
              <w:spacing w:after="20" w:line="252" w:lineRule="auto"/>
            </w:pPr>
            <w:r/>
            <w:r>
              <w:rPr>
                <w:rFonts w:ascii="Arial" w:hAnsi="Arial"/>
                <w:b w:val="0"/>
                <w:i w:val="0"/>
                <w:color w:val="000000"/>
                <w:sz w:val="18"/>
              </w:rPr>
              <w:t>Two reports completed with zero execution errors. [E4]</w:t>
            </w:r>
          </w:p>
        </w:tc>
        <w:tc>
          <w:tcPr>
            <w:tcW w:type="dxa" w:w="2840"/>
            <w:vAlign w:val="center"/>
            <w:tcMar>
              <w:top w:w="80" w:type="dxa"/>
              <w:start w:w="120" w:type="dxa"/>
              <w:bottom w:w="80" w:type="dxa"/>
              <w:end w:w="120" w:type="dxa"/>
            </w:tcMar>
          </w:tcPr>
          <w:p>
            <w:pPr>
              <w:spacing w:after="20" w:line="252" w:lineRule="auto"/>
            </w:pPr>
            <w:r/>
            <w:r>
              <w:rPr>
                <w:rFonts w:ascii="Arial" w:hAnsi="Arial"/>
                <w:b w:val="0"/>
                <w:i w:val="0"/>
                <w:color w:val="000000"/>
                <w:sz w:val="18"/>
              </w:rPr>
              <w:t>Not a production readiness claim.</w:t>
            </w:r>
          </w:p>
        </w:tc>
      </w:tr>
    </w:tbl>
    <w:p>
      <w:pPr>
        <w:spacing w:after="20"/>
      </w:pPr>
    </w:p>
    <w:p>
      <w:pPr>
        <w:pStyle w:val="Heading1"/>
      </w:pPr>
      <w:r>
        <w:t>Submission conclusion</w:t>
      </w:r>
    </w:p>
    <w:p>
      <w:pPr>
        <w:spacing w:after="120" w:line="276" w:lineRule="auto"/>
      </w:pPr>
      <w:r>
        <w:rPr>
          <w:rFonts w:ascii="Arial" w:hAnsi="Arial"/>
          <w:b w:val="0"/>
          <w:i w:val="0"/>
          <w:color w:val="000000"/>
          <w:sz w:val="21"/>
        </w:rPr>
        <w:t>This final package demonstrates the complete requested workflow: audit report input, benchmark question, evidence retrieval, constrained local LLM response, positive/negative assessment, audit score and benchmark decision. Its central contribution is traceability: every claimed score has a route back to source report, retrieval evidence, configuration and answer record. [E4][E5]</w:t>
      </w:r>
    </w:p>
    <w:p>
      <w:pPr>
        <w:spacing w:after="120" w:line="276" w:lineRule="auto"/>
      </w:pPr>
      <w:r>
        <w:rPr>
          <w:rFonts w:ascii="Arial" w:hAnsi="Arial"/>
          <w:b w:val="0"/>
          <w:i w:val="0"/>
          <w:color w:val="000000"/>
          <w:sz w:val="21"/>
        </w:rPr>
        <w:t>The final recommendation is to submit this as an evaluated, auditable proof of concept. State plainly in the review that broader deployment requires independently labelled multi-report validation, balanced answer classes and visual/OCR coverage where the input data demands it. [E10]</w:t>
      </w:r>
    </w:p>
    <w:p>
      <w:pPr>
        <w:pStyle w:val="Heading1"/>
      </w:pPr>
      <w:r>
        <w:t>Repository evidence cited</w:t>
      </w:r>
    </w:p>
    <w:p>
      <w:pPr>
        <w:pStyle w:val="ListBullet"/>
        <w:spacing w:after="60" w:line="264" w:lineRule="auto"/>
      </w:pPr>
      <w:r>
        <w:rPr>
          <w:rFonts w:ascii="Arial" w:hAnsi="Arial"/>
          <w:b w:val="0"/>
          <w:i w:val="0"/>
          <w:color w:val="000000"/>
          <w:sz w:val="20"/>
        </w:rPr>
        <w:t>[E4] results/production_real_reports/1787846335_de0ded86a7db/run_config.json and run.log: two-report production-parser run configuration and execution log.</w:t>
      </w:r>
    </w:p>
    <w:p>
      <w:pPr>
        <w:pStyle w:val="ListBullet"/>
        <w:spacing w:after="60" w:line="264" w:lineRule="auto"/>
      </w:pPr>
      <w:r>
        <w:rPr>
          <w:rFonts w:ascii="Arial" w:hAnsi="Arial"/>
          <w:b w:val="0"/>
          <w:i w:val="0"/>
          <w:color w:val="000000"/>
          <w:sz w:val="20"/>
        </w:rPr>
        <w:t>[E5] results/production_real_reports/1787846335_de0ded86a7db/{retrieval_metrics,question_level_llm_metrics,sota_faithfulness_metrics,audit_level_scores}.json: scored metrics and audit decisions.</w:t>
      </w:r>
    </w:p>
    <w:p>
      <w:pPr>
        <w:pStyle w:val="ListBullet"/>
        <w:spacing w:after="60" w:line="264" w:lineRule="auto"/>
      </w:pPr>
      <w:r>
        <w:rPr>
          <w:rFonts w:ascii="Arial" w:hAnsi="Arial"/>
          <w:b w:val="0"/>
          <w:i w:val="0"/>
          <w:color w:val="000000"/>
          <w:sz w:val="20"/>
        </w:rPr>
        <w:t>[E8] src/{docling_parser.py,chunking.py,embed_index.py,pipeline.py,evaluation_harness.py,adaptive_rag.py,prompts.py,icl.py}: implementation inspection.</w:t>
      </w:r>
    </w:p>
    <w:p>
      <w:pPr>
        <w:pStyle w:val="ListBullet"/>
        <w:spacing w:after="60" w:line="264" w:lineRule="auto"/>
      </w:pPr>
      <w:r>
        <w:rPr>
          <w:rFonts w:ascii="Arial" w:hAnsi="Arial"/>
          <w:b w:val="0"/>
          <w:i w:val="0"/>
          <w:color w:val="000000"/>
          <w:sz w:val="20"/>
        </w:rPr>
        <w:t>[E10] results/final_validation/VALIDATION_SUMMARY.md and its cited run directories: controlled local LLM, ICL, prompt, retrieval, CRAG, chunking and chunk-parameter comparisons completed 28 August 2026.</w:t>
      </w:r>
    </w:p>
    <w:p>
      <w:pPr>
        <w:pStyle w:val="Heading1"/>
      </w:pPr>
      <w:r>
        <w:t>External technology sources</w:t>
      </w:r>
    </w:p>
    <w:p>
      <w:pPr>
        <w:pStyle w:val="ListBullet"/>
        <w:spacing w:after="60" w:line="264" w:lineRule="auto"/>
      </w:pPr>
      <w:r>
        <w:rPr>
          <w:rFonts w:ascii="Arial" w:hAnsi="Arial"/>
          <w:b w:val="0"/>
          <w:i w:val="0"/>
          <w:color w:val="000000"/>
          <w:sz w:val="20"/>
        </w:rPr>
        <w:t>[S1] Chen et al. (2024), BGE-M3-Embedding, arXiv:2402.03216, https://arxiv.org/abs/2402.03216.</w:t>
      </w:r>
    </w:p>
    <w:p>
      <w:pPr>
        <w:pStyle w:val="ListBullet"/>
        <w:spacing w:after="60" w:line="264" w:lineRule="auto"/>
      </w:pPr>
      <w:r>
        <w:rPr>
          <w:rFonts w:ascii="Arial" w:hAnsi="Arial"/>
          <w:b w:val="0"/>
          <w:i w:val="0"/>
          <w:color w:val="000000"/>
          <w:sz w:val="20"/>
        </w:rPr>
        <w:t>[S2] Santhanam et al. (2021), ColBERTv2, arXiv:2112.01488, https://arxiv.org/abs/2112.01488.</w:t>
      </w:r>
    </w:p>
    <w:p>
      <w:pPr>
        <w:pStyle w:val="ListBullet"/>
        <w:spacing w:after="60" w:line="264" w:lineRule="auto"/>
      </w:pPr>
      <w:r>
        <w:rPr>
          <w:rFonts w:ascii="Arial" w:hAnsi="Arial"/>
          <w:b w:val="0"/>
          <w:i w:val="0"/>
          <w:color w:val="000000"/>
          <w:sz w:val="20"/>
        </w:rPr>
        <w:t>[S3] Faysse et al. (2025), ColPali, arXiv:2407.01449, https://arxiv.org/abs/2407.01449.</w:t>
      </w:r>
    </w:p>
    <w:p>
      <w:pPr>
        <w:pStyle w:val="ListBullet"/>
        <w:spacing w:after="60" w:line="264" w:lineRule="auto"/>
      </w:pPr>
      <w:r>
        <w:rPr>
          <w:rFonts w:ascii="Arial" w:hAnsi="Arial"/>
          <w:b w:val="0"/>
          <w:i w:val="0"/>
          <w:color w:val="000000"/>
          <w:sz w:val="20"/>
        </w:rPr>
        <w:t>[S4] Yang et al. (2025), Qwen3 Technical Report, arXiv:2505.09388, https://arxiv.org/abs/2505.09388.</w:t>
      </w:r>
    </w:p>
    <w:p>
      <w:pPr>
        <w:pStyle w:val="ListBullet"/>
        <w:spacing w:after="60" w:line="264" w:lineRule="auto"/>
      </w:pPr>
      <w:r>
        <w:rPr>
          <w:rFonts w:ascii="Arial" w:hAnsi="Arial"/>
          <w:b w:val="0"/>
          <w:i w:val="0"/>
          <w:color w:val="000000"/>
          <w:sz w:val="20"/>
        </w:rPr>
        <w:t>[S5] Qwen (2025), Qwen3-Reranker-4B model card, https://huggingface.co/Qwen/Qwen3-Reranker-4B.</w:t>
      </w:r>
    </w:p>
    <w:p>
      <w:pPr>
        <w:pStyle w:val="ListBullet"/>
        <w:spacing w:after="60" w:line="264" w:lineRule="auto"/>
      </w:pPr>
      <w:r>
        <w:rPr>
          <w:rFonts w:ascii="Arial" w:hAnsi="Arial"/>
          <w:b w:val="0"/>
          <w:i w:val="0"/>
          <w:color w:val="000000"/>
          <w:sz w:val="20"/>
        </w:rPr>
        <w:t>[S6] Microsoft GraphRAG query documentation, https://microsoft.github.io/graphrag/query/overview/.</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000000"/>
        <w:sz w:val="17"/>
      </w:rPr>
      <w:t>D12 Final Technical Report and Demo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val="0"/>
        <w:i w:val="0"/>
        <w:color w:val="000000"/>
        <w:sz w:val="17"/>
      </w:rPr>
      <w:t>Objective 3 | AI-Based Cyber Security Audit Assessment Against Benchmark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64"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line="264"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