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/>
    <w:p/>
    <w:p>
      <w:pPr>
        <w:spacing w:line="720" w:lineRule="exact"/>
        <w:jc w:val="center"/>
      </w:pPr>
      <w:r>
        <w:rPr>
          <w:rFonts w:ascii="宋体" w:hAnsi="宋体" w:eastAsia="宋体"/>
          <w:b/>
          <w:color w:val="003366"/>
          <w:sz w:val="44"/>
        </w:rPr>
        <w:t>面向城市物流无人机的</w:t>
        <w:br/>
        <w:t>适航合规性检查清单设计</w:t>
      </w:r>
    </w:p>
    <w:p/>
    <w:p/>
    <w:p/>
    <w:p/>
    <w:p/>
    <w:p>
      <w:pPr>
        <w:jc w:val="center"/>
      </w:pPr>
      <w:r>
        <w:rPr>
          <w:rFonts w:ascii="宋体" w:hAnsi="宋体" w:eastAsia="宋体"/>
          <w:b w:val="0"/>
          <w:color w:val="505050"/>
          <w:sz w:val="24"/>
        </w:rPr>
        <w:t>——"凤起南航·泰达未来"首届民航创新实践挑战赛</w:t>
        <w:br/>
        <w:t>飞行器适航技术方向参赛作品</w:t>
      </w:r>
    </w:p>
    <w:p/>
    <w:p/>
    <w:p/>
    <w:p/>
    <w:p/>
    <w:p/>
    <w:p/>
    <w:p/>
    <w:p>
      <w:pPr>
        <w:spacing w:line="480" w:lineRule="exact"/>
        <w:jc w:val="center"/>
      </w:pPr>
      <w:r>
        <w:rPr>
          <w:rFonts w:ascii="宋体" w:hAnsi="宋体" w:eastAsia="宋体"/>
          <w:b w:val="0"/>
          <w:color w:val="000000"/>
          <w:sz w:val="22"/>
        </w:rPr>
        <w:t>参赛赛道：飞行器适航技术方向</w:t>
      </w:r>
    </w:p>
    <w:p>
      <w:pPr>
        <w:spacing w:line="480" w:lineRule="exact"/>
        <w:jc w:val="center"/>
      </w:pPr>
      <w:r>
        <w:rPr>
          <w:rFonts w:ascii="宋体" w:hAnsi="宋体" w:eastAsia="宋体"/>
          <w:b w:val="0"/>
          <w:color w:val="000000"/>
          <w:sz w:val="22"/>
        </w:rPr>
        <w:t>作品类型：适航合规性检查清单设计</w:t>
      </w:r>
    </w:p>
    <w:p>
      <w:pPr>
        <w:spacing w:line="480" w:lineRule="exact"/>
        <w:jc w:val="center"/>
      </w:pPr>
      <w:r>
        <w:rPr>
          <w:rFonts w:ascii="宋体" w:hAnsi="宋体" w:eastAsia="宋体"/>
          <w:b w:val="0"/>
          <w:color w:val="000000"/>
          <w:sz w:val="22"/>
        </w:rPr>
        <w:t>参赛队员：GORDON（队长）</w:t>
      </w:r>
    </w:p>
    <w:p>
      <w:pPr>
        <w:spacing w:line="480" w:lineRule="exact"/>
        <w:jc w:val="center"/>
      </w:pPr>
      <w:r>
        <w:rPr>
          <w:rFonts w:ascii="宋体" w:hAnsi="宋体" w:eastAsia="宋体"/>
          <w:b w:val="0"/>
          <w:color w:val="000000"/>
          <w:sz w:val="22"/>
        </w:rPr>
        <w:t>指导教师：待填写</w:t>
      </w:r>
    </w:p>
    <w:p>
      <w:pPr>
        <w:spacing w:line="480" w:lineRule="exact"/>
        <w:jc w:val="center"/>
      </w:pPr>
      <w:r>
        <w:rPr>
          <w:rFonts w:ascii="宋体" w:hAnsi="宋体" w:eastAsia="宋体"/>
          <w:b w:val="0"/>
          <w:color w:val="000000"/>
          <w:sz w:val="22"/>
        </w:rPr>
        <w:t>所在单位：南京航空航天大学 民航学院</w:t>
      </w:r>
    </w:p>
    <w:p>
      <w:pPr>
        <w:spacing w:line="480" w:lineRule="exact"/>
        <w:jc w:val="center"/>
      </w:pPr>
      <w:r>
        <w:rPr>
          <w:rFonts w:ascii="宋体" w:hAnsi="宋体" w:eastAsia="宋体"/>
          <w:b w:val="0"/>
          <w:color w:val="000000"/>
          <w:sz w:val="22"/>
        </w:rPr>
        <w:t>完成日期：2026 年 4 月 17 日</w:t>
      </w:r>
    </w:p>
    <w:p>
      <w:r>
        <w:br w:type="page"/>
      </w:r>
    </w:p>
    <w:p>
      <w:pPr>
        <w:pStyle w:val="Heading1"/>
        <w:jc w:val="center"/>
      </w:pPr>
      <w:r>
        <w:rPr>
          <w:rFonts w:ascii="宋体" w:hAnsi="宋体" w:eastAsia="宋体"/>
          <w:b/>
          <w:color w:val="003366"/>
          <w:sz w:val="32"/>
        </w:rPr>
        <w:t>摘要</w:t>
      </w:r>
    </w:p>
    <w:p>
      <w:pPr>
        <w:spacing w:line="360" w:lineRule="exact"/>
      </w:pPr>
      <w:r>
        <w:rPr>
          <w:rFonts w:ascii="宋体" w:hAnsi="宋体" w:eastAsia="宋体"/>
          <w:b w:val="0"/>
          <w:color w:val="000000"/>
          <w:sz w:val="21"/>
        </w:rPr>
        <w:t>随着低空经济的快速发展，城市物流无人机应用场景日益广泛。然而，当前无人机运营领域缺乏统一、简易的适航检查标准，导致飞行安全隐患频发。本设计基于《民用航空器适航管理条例》（国务院令第 714 号）、CCAR-21-R4《民用航空产品和零部件合格审定规定》及 CCAR-92《民用无人机运行安全管理规则》（征求意见稿）等法规框架，设计了一套面向城市物流无人机的适航合规性检查清单。</w:t>
        <w:br/>
        <w:br/>
        <w:t>本清单包含 6 大类 32 项检查内容，采用量化评分方式，将适航状态分为 A/B/C 三级，分别对应不同的运营场景。创新性地引入了法规条款映射机制和城市场景定制检查项，使检查清单既符合法规要求，又具有实际可操作性。</w:t>
        <w:br/>
        <w:br/>
        <w:t>经可行性分析，本检查清单可在 20 分钟内完成全部检查，无需额外硬件投入，适用于各类物流无人机运营商。清单设计参考了国内外无人机适航管理最佳实践，并结合中国民航法规体系进行了本土化适配。</w:t>
      </w:r>
    </w:p>
    <w:p>
      <w:r>
        <w:rPr>
          <w:rFonts w:ascii="宋体" w:hAnsi="宋体" w:eastAsia="宋体"/>
          <w:b/>
          <w:color w:val="000000"/>
          <w:sz w:val="21"/>
        </w:rPr>
        <w:t>关键词：</w:t>
      </w:r>
      <w:r>
        <w:rPr>
          <w:rFonts w:ascii="宋体" w:hAnsi="宋体" w:eastAsia="宋体"/>
          <w:b w:val="0"/>
          <w:color w:val="000000"/>
          <w:sz w:val="21"/>
        </w:rPr>
        <w:t>无人机适航；城市物流；检查清单；合规性；CCAR-92；低空经济</w:t>
      </w:r>
    </w:p>
    <w:p>
      <w:r>
        <w:br w:type="page"/>
      </w:r>
    </w:p>
    <w:p>
      <w:pPr>
        <w:pStyle w:val="Heading1"/>
        <w:jc w:val="center"/>
      </w:pPr>
      <w:r>
        <w:rPr>
          <w:rFonts w:ascii="宋体" w:hAnsi="宋体" w:eastAsia="宋体"/>
          <w:b/>
          <w:color w:val="003366"/>
          <w:sz w:val="32"/>
        </w:rPr>
        <w:t>目录</w:t>
      </w:r>
    </w:p>
    <w:p>
      <w:pPr>
        <w:spacing w:line="400" w:lineRule="exact"/>
        <w:ind w:firstLine="0"/>
      </w:pPr>
      <w:r>
        <w:rPr>
          <w:rFonts w:ascii="宋体" w:hAnsi="宋体" w:eastAsia="宋体"/>
          <w:b w:val="0"/>
          <w:color w:val="000000"/>
          <w:sz w:val="20"/>
        </w:rPr>
        <w:t>一、背景与意义</w:t>
      </w:r>
    </w:p>
    <w:p>
      <w:pPr>
        <w:spacing w:line="400" w:lineRule="exact"/>
        <w:ind w:firstLine="0"/>
      </w:pPr>
      <w:r>
        <w:rPr>
          <w:rFonts w:ascii="宋体" w:hAnsi="宋体" w:eastAsia="宋体"/>
          <w:b w:val="0"/>
          <w:color w:val="000000"/>
          <w:sz w:val="20"/>
        </w:rPr>
        <w:t xml:space="preserve">  1.1 行业背景</w:t>
      </w:r>
    </w:p>
    <w:p>
      <w:pPr>
        <w:spacing w:line="400" w:lineRule="exact"/>
        <w:ind w:firstLine="0"/>
      </w:pPr>
      <w:r>
        <w:rPr>
          <w:rFonts w:ascii="宋体" w:hAnsi="宋体" w:eastAsia="宋体"/>
          <w:b w:val="0"/>
          <w:color w:val="000000"/>
          <w:sz w:val="20"/>
        </w:rPr>
        <w:t xml:space="preserve">  1.2 设计意义</w:t>
      </w:r>
    </w:p>
    <w:p>
      <w:pPr>
        <w:spacing w:line="400" w:lineRule="exact"/>
        <w:ind w:firstLine="0"/>
      </w:pPr>
      <w:r>
        <w:rPr>
          <w:rFonts w:ascii="宋体" w:hAnsi="宋体" w:eastAsia="宋体"/>
          <w:b w:val="0"/>
          <w:color w:val="000000"/>
          <w:sz w:val="20"/>
        </w:rPr>
        <w:t>二、法规依据</w:t>
      </w:r>
    </w:p>
    <w:p>
      <w:pPr>
        <w:spacing w:line="400" w:lineRule="exact"/>
        <w:ind w:firstLine="0"/>
      </w:pPr>
      <w:r>
        <w:rPr>
          <w:rFonts w:ascii="宋体" w:hAnsi="宋体" w:eastAsia="宋体"/>
          <w:b w:val="0"/>
          <w:color w:val="000000"/>
          <w:sz w:val="20"/>
        </w:rPr>
        <w:t xml:space="preserve">  2.1 法规层级结构</w:t>
      </w:r>
    </w:p>
    <w:p>
      <w:pPr>
        <w:spacing w:line="400" w:lineRule="exact"/>
        <w:ind w:firstLine="0"/>
      </w:pPr>
      <w:r>
        <w:rPr>
          <w:rFonts w:ascii="宋体" w:hAnsi="宋体" w:eastAsia="宋体"/>
          <w:b w:val="0"/>
          <w:color w:val="000000"/>
          <w:sz w:val="20"/>
        </w:rPr>
        <w:t xml:space="preserve">  2.2 核心法规文件</w:t>
      </w:r>
    </w:p>
    <w:p>
      <w:pPr>
        <w:spacing w:line="400" w:lineRule="exact"/>
        <w:ind w:firstLine="0"/>
      </w:pPr>
      <w:r>
        <w:rPr>
          <w:rFonts w:ascii="宋体" w:hAnsi="宋体" w:eastAsia="宋体"/>
          <w:b w:val="0"/>
          <w:color w:val="000000"/>
          <w:sz w:val="20"/>
        </w:rPr>
        <w:t>三、检查清单设计</w:t>
      </w:r>
    </w:p>
    <w:p>
      <w:pPr>
        <w:spacing w:line="400" w:lineRule="exact"/>
        <w:ind w:firstLine="0"/>
      </w:pPr>
      <w:r>
        <w:rPr>
          <w:rFonts w:ascii="宋体" w:hAnsi="宋体" w:eastAsia="宋体"/>
          <w:b w:val="0"/>
          <w:color w:val="000000"/>
          <w:sz w:val="20"/>
        </w:rPr>
        <w:t xml:space="preserve">  3.1 设计原则</w:t>
      </w:r>
    </w:p>
    <w:p>
      <w:pPr>
        <w:spacing w:line="400" w:lineRule="exact"/>
        <w:ind w:firstLine="0"/>
      </w:pPr>
      <w:r>
        <w:rPr>
          <w:rFonts w:ascii="宋体" w:hAnsi="宋体" w:eastAsia="宋体"/>
          <w:b w:val="0"/>
          <w:color w:val="000000"/>
          <w:sz w:val="20"/>
        </w:rPr>
        <w:t xml:space="preserve">  3.2 检查大类</w:t>
      </w:r>
    </w:p>
    <w:p>
      <w:pPr>
        <w:spacing w:line="400" w:lineRule="exact"/>
        <w:ind w:firstLine="0"/>
      </w:pPr>
      <w:r>
        <w:rPr>
          <w:rFonts w:ascii="宋体" w:hAnsi="宋体" w:eastAsia="宋体"/>
          <w:b w:val="0"/>
          <w:color w:val="000000"/>
          <w:sz w:val="20"/>
        </w:rPr>
        <w:t xml:space="preserve">  3.3 详细检查项</w:t>
      </w:r>
    </w:p>
    <w:p>
      <w:pPr>
        <w:spacing w:line="400" w:lineRule="exact"/>
        <w:ind w:firstLine="0"/>
      </w:pPr>
      <w:r>
        <w:rPr>
          <w:rFonts w:ascii="宋体" w:hAnsi="宋体" w:eastAsia="宋体"/>
          <w:b w:val="0"/>
          <w:color w:val="000000"/>
          <w:sz w:val="20"/>
        </w:rPr>
        <w:t>四、评分与评级体系</w:t>
      </w:r>
    </w:p>
    <w:p>
      <w:pPr>
        <w:spacing w:line="400" w:lineRule="exact"/>
        <w:ind w:firstLine="0"/>
      </w:pPr>
      <w:r>
        <w:rPr>
          <w:rFonts w:ascii="宋体" w:hAnsi="宋体" w:eastAsia="宋体"/>
          <w:b w:val="0"/>
          <w:color w:val="000000"/>
          <w:sz w:val="20"/>
        </w:rPr>
        <w:t xml:space="preserve">  4.1 评分规则</w:t>
      </w:r>
    </w:p>
    <w:p>
      <w:pPr>
        <w:spacing w:line="400" w:lineRule="exact"/>
        <w:ind w:firstLine="0"/>
      </w:pPr>
      <w:r>
        <w:rPr>
          <w:rFonts w:ascii="宋体" w:hAnsi="宋体" w:eastAsia="宋体"/>
          <w:b w:val="0"/>
          <w:color w:val="000000"/>
          <w:sz w:val="20"/>
        </w:rPr>
        <w:t xml:space="preserve">  4.2 评级标准</w:t>
      </w:r>
    </w:p>
    <w:p>
      <w:pPr>
        <w:spacing w:line="400" w:lineRule="exact"/>
        <w:ind w:firstLine="0"/>
      </w:pPr>
      <w:r>
        <w:rPr>
          <w:rFonts w:ascii="宋体" w:hAnsi="宋体" w:eastAsia="宋体"/>
          <w:b w:val="0"/>
          <w:color w:val="000000"/>
          <w:sz w:val="20"/>
        </w:rPr>
        <w:t xml:space="preserve">  4.3 一票否决项</w:t>
      </w:r>
    </w:p>
    <w:p>
      <w:pPr>
        <w:spacing w:line="400" w:lineRule="exact"/>
        <w:ind w:firstLine="0"/>
      </w:pPr>
      <w:r>
        <w:rPr>
          <w:rFonts w:ascii="宋体" w:hAnsi="宋体" w:eastAsia="宋体"/>
          <w:b w:val="0"/>
          <w:color w:val="000000"/>
          <w:sz w:val="20"/>
        </w:rPr>
        <w:t>五、使用流程</w:t>
      </w:r>
    </w:p>
    <w:p>
      <w:pPr>
        <w:spacing w:line="400" w:lineRule="exact"/>
        <w:ind w:firstLine="0"/>
      </w:pPr>
      <w:r>
        <w:rPr>
          <w:rFonts w:ascii="宋体" w:hAnsi="宋体" w:eastAsia="宋体"/>
          <w:b w:val="0"/>
          <w:color w:val="000000"/>
          <w:sz w:val="20"/>
        </w:rPr>
        <w:t xml:space="preserve">  5.1 飞前检查流程</w:t>
      </w:r>
    </w:p>
    <w:p>
      <w:pPr>
        <w:spacing w:line="400" w:lineRule="exact"/>
        <w:ind w:firstLine="0"/>
      </w:pPr>
      <w:r>
        <w:rPr>
          <w:rFonts w:ascii="宋体" w:hAnsi="宋体" w:eastAsia="宋体"/>
          <w:b w:val="0"/>
          <w:color w:val="000000"/>
          <w:sz w:val="20"/>
        </w:rPr>
        <w:t xml:space="preserve">  5.2 异常处理建议</w:t>
      </w:r>
    </w:p>
    <w:p>
      <w:pPr>
        <w:spacing w:line="400" w:lineRule="exact"/>
        <w:ind w:firstLine="0"/>
      </w:pPr>
      <w:r>
        <w:rPr>
          <w:rFonts w:ascii="宋体" w:hAnsi="宋体" w:eastAsia="宋体"/>
          <w:b w:val="0"/>
          <w:color w:val="000000"/>
          <w:sz w:val="20"/>
        </w:rPr>
        <w:t>六、创新点说明</w:t>
      </w:r>
    </w:p>
    <w:p>
      <w:pPr>
        <w:spacing w:line="400" w:lineRule="exact"/>
        <w:ind w:firstLine="0"/>
      </w:pPr>
      <w:r>
        <w:rPr>
          <w:rFonts w:ascii="宋体" w:hAnsi="宋体" w:eastAsia="宋体"/>
          <w:b w:val="0"/>
          <w:color w:val="000000"/>
          <w:sz w:val="20"/>
        </w:rPr>
        <w:t xml:space="preserve">  6.1 法规条款映射</w:t>
      </w:r>
    </w:p>
    <w:p>
      <w:pPr>
        <w:spacing w:line="400" w:lineRule="exact"/>
        <w:ind w:firstLine="0"/>
      </w:pPr>
      <w:r>
        <w:rPr>
          <w:rFonts w:ascii="宋体" w:hAnsi="宋体" w:eastAsia="宋体"/>
          <w:b w:val="0"/>
          <w:color w:val="000000"/>
          <w:sz w:val="20"/>
        </w:rPr>
        <w:t xml:space="preserve">  6.2 城市场景定制</w:t>
      </w:r>
    </w:p>
    <w:p>
      <w:pPr>
        <w:spacing w:line="400" w:lineRule="exact"/>
        <w:ind w:firstLine="0"/>
      </w:pPr>
      <w:r>
        <w:rPr>
          <w:rFonts w:ascii="宋体" w:hAnsi="宋体" w:eastAsia="宋体"/>
          <w:b w:val="0"/>
          <w:color w:val="000000"/>
          <w:sz w:val="20"/>
        </w:rPr>
        <w:t xml:space="preserve">  6.3 分级评级体系</w:t>
      </w:r>
    </w:p>
    <w:p>
      <w:pPr>
        <w:spacing w:line="400" w:lineRule="exact"/>
        <w:ind w:firstLine="0"/>
      </w:pPr>
      <w:r>
        <w:rPr>
          <w:rFonts w:ascii="宋体" w:hAnsi="宋体" w:eastAsia="宋体"/>
          <w:b w:val="0"/>
          <w:color w:val="000000"/>
          <w:sz w:val="20"/>
        </w:rPr>
        <w:t>七、可行性分析</w:t>
      </w:r>
    </w:p>
    <w:p>
      <w:pPr>
        <w:spacing w:line="400" w:lineRule="exact"/>
        <w:ind w:firstLine="0"/>
      </w:pPr>
      <w:r>
        <w:rPr>
          <w:rFonts w:ascii="宋体" w:hAnsi="宋体" w:eastAsia="宋体"/>
          <w:b w:val="0"/>
          <w:color w:val="000000"/>
          <w:sz w:val="20"/>
        </w:rPr>
        <w:t xml:space="preserve">  7.1 技术可行性</w:t>
      </w:r>
    </w:p>
    <w:p>
      <w:pPr>
        <w:spacing w:line="400" w:lineRule="exact"/>
        <w:ind w:firstLine="0"/>
      </w:pPr>
      <w:r>
        <w:rPr>
          <w:rFonts w:ascii="宋体" w:hAnsi="宋体" w:eastAsia="宋体"/>
          <w:b w:val="0"/>
          <w:color w:val="000000"/>
          <w:sz w:val="20"/>
        </w:rPr>
        <w:t xml:space="preserve">  7.2 经济可行性</w:t>
      </w:r>
    </w:p>
    <w:p>
      <w:pPr>
        <w:spacing w:line="400" w:lineRule="exact"/>
        <w:ind w:firstLine="0"/>
      </w:pPr>
      <w:r>
        <w:rPr>
          <w:rFonts w:ascii="宋体" w:hAnsi="宋体" w:eastAsia="宋体"/>
          <w:b w:val="0"/>
          <w:color w:val="000000"/>
          <w:sz w:val="20"/>
        </w:rPr>
        <w:t xml:space="preserve">  7.3 法规可行性</w:t>
      </w:r>
    </w:p>
    <w:p>
      <w:pPr>
        <w:spacing w:line="400" w:lineRule="exact"/>
        <w:ind w:firstLine="0"/>
      </w:pPr>
      <w:r>
        <w:rPr>
          <w:rFonts w:ascii="宋体" w:hAnsi="宋体" w:eastAsia="宋体"/>
          <w:b w:val="0"/>
          <w:color w:val="000000"/>
          <w:sz w:val="20"/>
        </w:rPr>
        <w:t xml:space="preserve">  7.4 推广可行性</w:t>
      </w:r>
    </w:p>
    <w:p>
      <w:pPr>
        <w:spacing w:line="400" w:lineRule="exact"/>
        <w:ind w:firstLine="0"/>
      </w:pPr>
      <w:r>
        <w:rPr>
          <w:rFonts w:ascii="宋体" w:hAnsi="宋体" w:eastAsia="宋体"/>
          <w:b w:val="0"/>
          <w:color w:val="000000"/>
          <w:sz w:val="20"/>
        </w:rPr>
        <w:t>八、结论与展望</w:t>
      </w:r>
    </w:p>
    <w:p>
      <w:pPr>
        <w:spacing w:line="400" w:lineRule="exact"/>
        <w:ind w:firstLine="0"/>
      </w:pPr>
      <w:r>
        <w:rPr>
          <w:rFonts w:ascii="宋体" w:hAnsi="宋体" w:eastAsia="宋体"/>
          <w:b w:val="0"/>
          <w:color w:val="000000"/>
          <w:sz w:val="20"/>
        </w:rPr>
        <w:t xml:space="preserve">  8.1 主要结论</w:t>
      </w:r>
    </w:p>
    <w:p>
      <w:pPr>
        <w:spacing w:line="400" w:lineRule="exact"/>
        <w:ind w:firstLine="0"/>
      </w:pPr>
      <w:r>
        <w:rPr>
          <w:rFonts w:ascii="宋体" w:hAnsi="宋体" w:eastAsia="宋体"/>
          <w:b w:val="0"/>
          <w:color w:val="000000"/>
          <w:sz w:val="20"/>
        </w:rPr>
        <w:t xml:space="preserve">  8.2 局限与改进</w:t>
      </w:r>
    </w:p>
    <w:p>
      <w:pPr>
        <w:spacing w:line="400" w:lineRule="exact"/>
        <w:ind w:firstLine="0"/>
      </w:pPr>
      <w:r>
        <w:rPr>
          <w:rFonts w:ascii="宋体" w:hAnsi="宋体" w:eastAsia="宋体"/>
          <w:b w:val="0"/>
          <w:color w:val="000000"/>
          <w:sz w:val="20"/>
        </w:rPr>
        <w:t xml:space="preserve">  8.3 应用展望</w:t>
      </w:r>
    </w:p>
    <w:p>
      <w:pPr>
        <w:spacing w:line="400" w:lineRule="exact"/>
        <w:ind w:firstLine="0"/>
      </w:pPr>
      <w:r>
        <w:rPr>
          <w:rFonts w:ascii="宋体" w:hAnsi="宋体" w:eastAsia="宋体"/>
          <w:b w:val="0"/>
          <w:color w:val="000000"/>
          <w:sz w:val="20"/>
        </w:rPr>
        <w:t>参考文献</w:t>
      </w:r>
    </w:p>
    <w:p>
      <w:pPr>
        <w:spacing w:line="400" w:lineRule="exact"/>
        <w:ind w:firstLine="0"/>
      </w:pPr>
      <w:r>
        <w:rPr>
          <w:rFonts w:ascii="宋体" w:hAnsi="宋体" w:eastAsia="宋体"/>
          <w:b w:val="0"/>
          <w:color w:val="000000"/>
          <w:sz w:val="20"/>
        </w:rPr>
        <w:t>附录 A：完整检查清单</w:t>
      </w:r>
    </w:p>
    <w:p>
      <w:pPr>
        <w:spacing w:line="400" w:lineRule="exact"/>
        <w:ind w:firstLine="0"/>
      </w:pPr>
      <w:r>
        <w:rPr>
          <w:rFonts w:ascii="宋体" w:hAnsi="宋体" w:eastAsia="宋体"/>
          <w:b w:val="0"/>
          <w:color w:val="000000"/>
          <w:sz w:val="20"/>
        </w:rPr>
        <w:t>附录 B：法规条款映射表</w:t>
      </w:r>
    </w:p>
    <w:p>
      <w:pPr>
        <w:spacing w:line="400" w:lineRule="exact"/>
        <w:ind w:firstLine="0"/>
      </w:pPr>
      <w:r>
        <w:rPr>
          <w:rFonts w:ascii="宋体" w:hAnsi="宋体" w:eastAsia="宋体"/>
          <w:b w:val="0"/>
          <w:color w:val="000000"/>
          <w:sz w:val="20"/>
        </w:rPr>
        <w:t>附录 C：参赛队员信息</w:t>
      </w:r>
    </w:p>
    <w:p>
      <w:r>
        <w:br w:type="page"/>
      </w:r>
    </w:p>
    <w:p>
      <w:pPr>
        <w:pStyle w:val="Heading1"/>
        <w:jc w:val="center"/>
      </w:pPr>
      <w:r>
        <w:rPr>
          <w:rFonts w:ascii="宋体" w:hAnsi="宋体" w:eastAsia="宋体"/>
          <w:b/>
          <w:color w:val="003366"/>
          <w:sz w:val="32"/>
        </w:rPr>
        <w:t>一、背景与意义</w:t>
      </w:r>
    </w:p>
    <w:p>
      <w:pPr>
        <w:pStyle w:val="Heading2"/>
      </w:pPr>
      <w:r>
        <w:rPr>
          <w:rFonts w:ascii="宋体" w:hAnsi="宋体" w:eastAsia="宋体"/>
          <w:b/>
          <w:color w:val="003366"/>
          <w:sz w:val="28"/>
        </w:rPr>
        <w:t>1.1 行业背景</w:t>
      </w:r>
    </w:p>
    <w:p>
      <w:pPr>
        <w:spacing w:line="360" w:lineRule="exact"/>
      </w:pPr>
      <w:r>
        <w:rPr>
          <w:rFonts w:ascii="宋体" w:hAnsi="宋体" w:eastAsia="宋体"/>
          <w:b w:val="0"/>
          <w:color w:val="000000"/>
          <w:sz w:val="21"/>
        </w:rPr>
        <w:t>2026 年，中国低空经济进入快速发展期。根据民航局数据，全国注册无人机数量已突破 150 万架，其中物流无人机占比约 15%。泰州医药高新区、船舶制造基地等区域正在试点无人机物流配送服务。</w:t>
        <w:br/>
        <w:br/>
        <w:t>然而，与快速增长的无人机数量相比，适航管理体系建设相对滞后。当前存在的主要问题包括：</w:t>
        <w:br/>
        <w:br/>
        <w:t>（1）检查标准不统一：不同运营商采用不同的检查流程，缺乏行业统一标准；</w:t>
        <w:br/>
        <w:t>（2）法规落地困难：现有法规条款较为宏观，缺乏具体操作指引；</w:t>
        <w:br/>
        <w:t>（3）安全意识薄弱：部分运营商为追求效率忽视飞前检查；</w:t>
        <w:br/>
        <w:t>（4）监管手段有限：监管部门缺乏有效的检查工具和评估标准。</w:t>
        <w:br/>
        <w:br/>
        <w:t>据民航局航空安全报告显示，2025 年无人机相关事故中，约 37% 与飞前检查不到位有关，其中机身结构损伤、电池故障、通信链路失效是主要原因。</w:t>
      </w:r>
    </w:p>
    <w:p>
      <w:pPr>
        <w:pStyle w:val="Heading2"/>
      </w:pPr>
      <w:r>
        <w:rPr>
          <w:rFonts w:ascii="宋体" w:hAnsi="宋体" w:eastAsia="宋体"/>
          <w:b/>
          <w:color w:val="003366"/>
          <w:sz w:val="28"/>
        </w:rPr>
        <w:t>1.2 设计意义</w:t>
      </w:r>
    </w:p>
    <w:p>
      <w:pPr>
        <w:spacing w:line="360" w:lineRule="exact"/>
      </w:pPr>
      <w:r>
        <w:rPr>
          <w:rFonts w:ascii="宋体" w:hAnsi="宋体" w:eastAsia="宋体"/>
          <w:b w:val="0"/>
          <w:color w:val="000000"/>
          <w:sz w:val="21"/>
        </w:rPr>
        <w:t>本检查清单的设计意义在于：</w:t>
        <w:br/>
        <w:br/>
        <w:t>（1）标准化：提供统一的检查框架，降低人为疏漏，提高检查效率；</w:t>
        <w:br/>
        <w:t>（2）合规性：每项检查对应具体法规要求，确保合法运营；</w:t>
        <w:br/>
        <w:t>（3）可操作性：简化专业术语，一线操作员可快速上手；</w:t>
        <w:br/>
        <w:t>（4）场景适配：针对城市物流特殊需求定制检查项；</w:t>
        <w:br/>
        <w:t>（5）风险管控：通过分级评级体系，实现差异化风险管理。</w:t>
        <w:br/>
        <w:br/>
        <w:t>本设计响应了《"十四五"民用航空发展规划》中关于"完善无人机适航管理体系"的要求，为民航局正在推进的无人机运行管理改革提供了实践参考。</w:t>
      </w:r>
    </w:p>
    <w:p>
      <w:pPr>
        <w:pStyle w:val="Heading1"/>
        <w:jc w:val="center"/>
      </w:pPr>
      <w:r>
        <w:rPr>
          <w:rFonts w:ascii="宋体" w:hAnsi="宋体" w:eastAsia="宋体"/>
          <w:b/>
          <w:color w:val="003366"/>
          <w:sz w:val="32"/>
        </w:rPr>
        <w:t>二、法规依据</w:t>
      </w:r>
    </w:p>
    <w:p>
      <w:pPr>
        <w:pStyle w:val="Heading2"/>
      </w:pPr>
      <w:r>
        <w:rPr>
          <w:rFonts w:ascii="宋体" w:hAnsi="宋体" w:eastAsia="宋体"/>
          <w:b/>
          <w:color w:val="003366"/>
          <w:sz w:val="28"/>
        </w:rPr>
        <w:t>2.1 法规层级结构</w:t>
      </w:r>
    </w:p>
    <w:p>
      <w:pPr>
        <w:spacing w:line="360" w:lineRule="exact"/>
      </w:pPr>
      <w:r>
        <w:rPr>
          <w:rFonts w:ascii="宋体" w:hAnsi="宋体" w:eastAsia="宋体"/>
          <w:b w:val="0"/>
          <w:color w:val="000000"/>
          <w:sz w:val="21"/>
        </w:rPr>
        <w:t>本设计依据以下法规框架：</w:t>
        <w:br/>
        <w:br/>
        <w:t>第一层级（法律）：《中华人民共和国民用航空法》《中华人民共和国安全生产法》</w:t>
        <w:br/>
        <w:t>第二层级（行政法规）：《民用航空器适航管理条例》（国务院令第 714 号修订）《无人驾驶航空器飞行管理暂行条例》</w:t>
        <w:br/>
        <w:t>第三层级（部门规章）：CCAR-21-R4《民用航空产品和零部件合格审定规定》CCAR-92《民用无人机运行安全管理规则》（征求意见稿）</w:t>
        <w:br/>
        <w:t>第四层级（规范性文件）：各类适航标准（AC）、管理程序（AP）、咨询通告等</w:t>
        <w:br/>
        <w:br/>
        <w:t>本检查清单主要依据第三、四层级法规文件设计，确保与现行法规体系保持一致。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2268"/>
            <w:shd w:fill="003366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color w:val="003366"/>
                <w:sz w:val="18"/>
              </w:rPr>
              <w:t>法规文件</w:t>
            </w:r>
          </w:p>
        </w:tc>
        <w:tc>
          <w:tcPr>
            <w:tcW w:type="dxa" w:w="1701"/>
            <w:shd w:fill="003366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color w:val="003366"/>
                <w:sz w:val="18"/>
              </w:rPr>
              <w:t>文号/编号</w:t>
            </w:r>
          </w:p>
        </w:tc>
        <w:tc>
          <w:tcPr>
            <w:tcW w:type="dxa" w:w="1417"/>
            <w:shd w:fill="003366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color w:val="003366"/>
                <w:sz w:val="18"/>
              </w:rPr>
              <w:t>发布机构</w:t>
            </w:r>
          </w:p>
        </w:tc>
        <w:tc>
          <w:tcPr>
            <w:tcW w:type="dxa" w:w="1417"/>
            <w:shd w:fill="003366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color w:val="003366"/>
                <w:sz w:val="18"/>
              </w:rPr>
              <w:t>发布日期</w:t>
            </w:r>
          </w:p>
        </w:tc>
        <w:tc>
          <w:tcPr>
            <w:tcW w:type="dxa" w:w="1417"/>
            <w:shd w:fill="003366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color w:val="003366"/>
                <w:sz w:val="18"/>
              </w:rPr>
              <w:t>状态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《民用航空器适航管理条例》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国务院令第 714 号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国务院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2019 年修订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✅ 已发布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CCAR-21-R4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民航规〔2017〕1 号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民航局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2017 年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✅ 已发布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CCAR-92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民航局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民航局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征求意见中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⚠️ 征求意见稿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AC-21-AA-2022-40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民航适〔2022〕40 号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民航局适航司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2022 年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✅ 已发布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AP-21-AA-2022-71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民航适〔2022〕71 号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民航局适航司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2022 年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✅ 已发布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AC-21-2017-23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民航适〔2017〕23 号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民航局适航司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2017 年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✅ 已发布</w:t>
            </w:r>
          </w:p>
        </w:tc>
      </w:tr>
    </w:tbl>
    <w:p>
      <w:pPr>
        <w:pStyle w:val="Heading2"/>
      </w:pPr>
      <w:r>
        <w:rPr>
          <w:rFonts w:ascii="宋体" w:hAnsi="宋体" w:eastAsia="宋体"/>
          <w:b/>
          <w:color w:val="003366"/>
          <w:sz w:val="28"/>
        </w:rPr>
        <w:t>2.2 核心法规文件</w:t>
      </w:r>
    </w:p>
    <w:p>
      <w:pPr>
        <w:spacing w:line="360" w:lineRule="exact"/>
      </w:pPr>
      <w:r>
        <w:rPr>
          <w:rFonts w:ascii="宋体" w:hAnsi="宋体" w:eastAsia="宋体"/>
          <w:b w:val="0"/>
          <w:color w:val="000000"/>
          <w:sz w:val="21"/>
        </w:rPr>
        <w:t>本清单设计引用了以下核心法规文件：</w:t>
        <w:br/>
        <w:br/>
        <w:t>（1）《民用航空器适航管理条例》（国务院令第 714 号）——适航管理顶层法规，规定了适航证书、持续适航等基本要求；</w:t>
        <w:br/>
        <w:br/>
        <w:t>（2）CCAR-21-R4《民用航空产品和零部件合格审定规定》——规定了航空产品型号合格证、生产许可证、适航证的申请和颁发程序；</w:t>
        <w:br/>
        <w:br/>
        <w:t>（3）CCAR-92《民用无人机运行安全管理规则》（征求意见稿）——规定了无人机运行前检查、系统维护、通信链路等要求；</w:t>
        <w:br/>
        <w:br/>
        <w:t>（4）AC-21-AA-2022-40《民用无人机分级分类及安全性分析指南》——提供了无人机分级分类方法和安全性分析框架；</w:t>
        <w:br/>
        <w:br/>
        <w:t>（5）AP-21-AA-2022-71《民用无人机适航审定管理程序》——规定了无人机适航审定的具体程序和要求；</w:t>
        <w:br/>
        <w:br/>
        <w:t>（6）AC-21-2017-23《正常类无人机适航标准》——规定了正常类无人机的适航技术要求。</w:t>
        <w:br/>
        <w:br/>
        <w:t>注：部分文件编号以民航局官网公布为准，本设计引用时已尽量采用最新有效版本。</w:t>
      </w:r>
    </w:p>
    <w:p>
      <w:pPr>
        <w:pStyle w:val="Heading1"/>
        <w:jc w:val="center"/>
      </w:pPr>
      <w:r>
        <w:rPr>
          <w:rFonts w:ascii="宋体" w:hAnsi="宋体" w:eastAsia="宋体"/>
          <w:b/>
          <w:color w:val="003366"/>
          <w:sz w:val="32"/>
        </w:rPr>
        <w:t>三、检查清单设计</w:t>
      </w:r>
    </w:p>
    <w:p>
      <w:pPr>
        <w:pStyle w:val="Heading2"/>
      </w:pPr>
      <w:r>
        <w:rPr>
          <w:rFonts w:ascii="宋体" w:hAnsi="宋体" w:eastAsia="宋体"/>
          <w:b/>
          <w:color w:val="003366"/>
          <w:sz w:val="28"/>
        </w:rPr>
        <w:t>3.1 设计原则</w:t>
      </w:r>
    </w:p>
    <w:p>
      <w:pPr>
        <w:spacing w:line="360" w:lineRule="exact"/>
      </w:pPr>
      <w:r>
        <w:rPr>
          <w:rFonts w:ascii="宋体" w:hAnsi="宋体" w:eastAsia="宋体"/>
          <w:b w:val="0"/>
          <w:color w:val="000000"/>
          <w:sz w:val="21"/>
        </w:rPr>
        <w:t>本检查清单遵循以下设计原则：</w:t>
        <w:br/>
        <w:br/>
        <w:t>（1）完整性：覆盖无人机系统关键部件，包括机身结构、动力系统、飞控系统、电池安全、通信链路等；</w:t>
        <w:br/>
        <w:t>（2）简洁性：每项检查可在 1 分钟内完成，使用通俗语言描述；</w:t>
        <w:br/>
        <w:t>（3）可量化：采用是/否/不适用三档评分，便于统计分析；</w:t>
        <w:br/>
        <w:t>（4）可追溯：每项检查对应法规要求，确保合规性可追溯；</w:t>
        <w:br/>
        <w:t>（5）可扩展：预留接口，可根据具体机型和运营场景调整检查项。</w:t>
      </w:r>
    </w:p>
    <w:p>
      <w:pPr>
        <w:pStyle w:val="Heading2"/>
      </w:pPr>
      <w:r>
        <w:rPr>
          <w:rFonts w:ascii="宋体" w:hAnsi="宋体" w:eastAsia="宋体"/>
          <w:b/>
          <w:color w:val="003366"/>
          <w:sz w:val="28"/>
        </w:rPr>
        <w:t>3.2 检查大类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567"/>
            <w:shd w:fill="003366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color w:val="003366"/>
                <w:sz w:val="18"/>
              </w:rPr>
              <w:t>序号</w:t>
            </w:r>
          </w:p>
        </w:tc>
        <w:tc>
          <w:tcPr>
            <w:tcW w:type="dxa" w:w="1984"/>
            <w:shd w:fill="003366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color w:val="003366"/>
                <w:sz w:val="18"/>
              </w:rPr>
              <w:t>检查大类</w:t>
            </w:r>
          </w:p>
        </w:tc>
        <w:tc>
          <w:tcPr>
            <w:tcW w:type="dxa" w:w="680"/>
            <w:shd w:fill="003366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color w:val="003366"/>
                <w:sz w:val="18"/>
              </w:rPr>
              <w:t>分值</w:t>
            </w:r>
          </w:p>
        </w:tc>
        <w:tc>
          <w:tcPr>
            <w:tcW w:type="dxa" w:w="850"/>
            <w:shd w:fill="003366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color w:val="003366"/>
                <w:sz w:val="18"/>
              </w:rPr>
              <w:t>检查项数</w:t>
            </w:r>
          </w:p>
        </w:tc>
        <w:tc>
          <w:tcPr>
            <w:tcW w:type="dxa" w:w="1417"/>
            <w:shd w:fill="003366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color w:val="003366"/>
                <w:sz w:val="18"/>
              </w:rPr>
              <w:t>建议检查时间</w:t>
            </w:r>
          </w:p>
        </w:tc>
        <w:tc>
          <w:tcPr>
            <w:tcW w:type="dxa" w:w="850"/>
            <w:shd w:fill="003366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color w:val="003366"/>
                <w:sz w:val="18"/>
              </w:rPr>
              <w:t>权重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1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机身结构完整性</w:t>
            </w:r>
          </w:p>
        </w:tc>
        <w:tc>
          <w:tcPr>
            <w:tcW w:type="dxa" w:w="68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10 分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5 项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3 分钟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16.7%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2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动力系统稳定性</w:t>
            </w:r>
          </w:p>
        </w:tc>
        <w:tc>
          <w:tcPr>
            <w:tcW w:type="dxa" w:w="68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10 分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6 项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4 分钟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16.7%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3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飞控系统可靠性</w:t>
            </w:r>
          </w:p>
        </w:tc>
        <w:tc>
          <w:tcPr>
            <w:tcW w:type="dxa" w:w="68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10 分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5 项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3 分钟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16.7%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4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电池安全性能</w:t>
            </w:r>
          </w:p>
        </w:tc>
        <w:tc>
          <w:tcPr>
            <w:tcW w:type="dxa" w:w="68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10 分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5 项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3 分钟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16.7%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5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通信链路安全性</w:t>
            </w:r>
          </w:p>
        </w:tc>
        <w:tc>
          <w:tcPr>
            <w:tcW w:type="dxa" w:w="68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10 分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5 项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3 分钟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16.7%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6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城市场景附加项</w:t>
            </w:r>
          </w:p>
        </w:tc>
        <w:tc>
          <w:tcPr>
            <w:tcW w:type="dxa" w:w="68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10 分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6 项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4 分钟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16.5%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合计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-</w:t>
            </w:r>
          </w:p>
        </w:tc>
        <w:tc>
          <w:tcPr>
            <w:tcW w:type="dxa" w:w="68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60 分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32 项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20 分钟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100%</w:t>
            </w:r>
          </w:p>
        </w:tc>
      </w:tr>
    </w:tbl>
    <w:p>
      <w:pPr>
        <w:pStyle w:val="Heading2"/>
      </w:pPr>
      <w:r>
        <w:rPr>
          <w:rFonts w:ascii="宋体" w:hAnsi="宋体" w:eastAsia="宋体"/>
          <w:b/>
          <w:color w:val="003366"/>
          <w:sz w:val="28"/>
        </w:rPr>
        <w:t>3.3 详细检查项</w:t>
      </w:r>
    </w:p>
    <w:p>
      <w:pPr>
        <w:spacing w:line="360" w:lineRule="exact"/>
      </w:pPr>
      <w:r>
        <w:rPr>
          <w:rFonts w:ascii="宋体" w:hAnsi="宋体" w:eastAsia="宋体"/>
          <w:b w:val="0"/>
          <w:color w:val="000000"/>
          <w:sz w:val="21"/>
        </w:rPr>
        <w:t>详细检查项见附录 A：完整检查清单。</w:t>
        <w:br/>
        <w:br/>
        <w:t>检查项设计参考了以下标准和最佳实践：</w:t>
        <w:br/>
        <w:t>（1）国际民航组织（ICAO）无人机系统手册（Doc 10019）；</w:t>
        <w:br/>
        <w:t>（2）美国联邦航空管理局（FAA）Part 107 运营规则；</w:t>
        <w:br/>
        <w:t>（3）欧洲航空安全局（EASA）无人机运营分类体系；</w:t>
        <w:br/>
        <w:t>（4）中国民航局无人机云系统数据；</w:t>
        <w:br/>
        <w:t>（5）主流无人机厂商（大疆、极飞等）飞前检查指南。</w:t>
      </w:r>
    </w:p>
    <w:p>
      <w:pPr>
        <w:pStyle w:val="Heading1"/>
        <w:jc w:val="center"/>
      </w:pPr>
      <w:r>
        <w:rPr>
          <w:rFonts w:ascii="宋体" w:hAnsi="宋体" w:eastAsia="宋体"/>
          <w:b/>
          <w:color w:val="003366"/>
          <w:sz w:val="32"/>
        </w:rPr>
        <w:t>四、评分与评级体系</w:t>
      </w:r>
    </w:p>
    <w:p>
      <w:pPr>
        <w:pStyle w:val="Heading2"/>
      </w:pPr>
      <w:r>
        <w:rPr>
          <w:rFonts w:ascii="宋体" w:hAnsi="宋体" w:eastAsia="宋体"/>
          <w:b/>
          <w:color w:val="003366"/>
          <w:sz w:val="28"/>
        </w:rPr>
        <w:t>4.1 评分规则</w:t>
      </w:r>
    </w:p>
    <w:p>
      <w:pPr>
        <w:spacing w:line="360" w:lineRule="exact"/>
      </w:pPr>
      <w:r>
        <w:rPr>
          <w:rFonts w:ascii="宋体" w:hAnsi="宋体" w:eastAsia="宋体"/>
          <w:b w:val="0"/>
          <w:color w:val="000000"/>
          <w:sz w:val="21"/>
        </w:rPr>
        <w:t>（1）每项检查满分 = 该类分值 ÷ 该类检查项数；</w:t>
        <w:br/>
        <w:t>（2）检查通过：得满分；</w:t>
        <w:br/>
        <w:t>（3）检查不通过：得 0 分；</w:t>
        <w:br/>
        <w:t>（4）不适用：不计入总分（按比例折算）；</w:t>
        <w:br/>
        <w:t>（5）总分计算：总分 = Σ各类得分，满分 60 分；</w:t>
        <w:br/>
        <w:t>（6）得分率计算：得分率 = 总分 ÷ 60 × 100%。</w:t>
      </w:r>
    </w:p>
    <w:p>
      <w:pPr>
        <w:pStyle w:val="Heading2"/>
      </w:pPr>
      <w:r>
        <w:rPr>
          <w:rFonts w:ascii="宋体" w:hAnsi="宋体" w:eastAsia="宋体"/>
          <w:b/>
          <w:color w:val="003366"/>
          <w:sz w:val="28"/>
        </w:rPr>
        <w:t>4.2 评级标准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680"/>
            <w:shd w:fill="003366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color w:val="003366"/>
                <w:sz w:val="18"/>
              </w:rPr>
              <w:t>等级</w:t>
            </w:r>
          </w:p>
        </w:tc>
        <w:tc>
          <w:tcPr>
            <w:tcW w:type="dxa" w:w="1134"/>
            <w:shd w:fill="003366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color w:val="003366"/>
                <w:sz w:val="18"/>
              </w:rPr>
              <w:t>分数要求</w:t>
            </w:r>
          </w:p>
        </w:tc>
        <w:tc>
          <w:tcPr>
            <w:tcW w:type="dxa" w:w="850"/>
            <w:shd w:fill="003366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color w:val="003366"/>
                <w:sz w:val="18"/>
              </w:rPr>
              <w:t>得分率</w:t>
            </w:r>
          </w:p>
        </w:tc>
        <w:tc>
          <w:tcPr>
            <w:tcW w:type="dxa" w:w="2268"/>
            <w:shd w:fill="003366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color w:val="003366"/>
                <w:sz w:val="18"/>
              </w:rPr>
              <w:t>适用场景</w:t>
            </w:r>
          </w:p>
        </w:tc>
        <w:tc>
          <w:tcPr>
            <w:tcW w:type="dxa" w:w="1984"/>
            <w:shd w:fill="003366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color w:val="003366"/>
                <w:sz w:val="18"/>
              </w:rPr>
              <w:t>限制条件</w:t>
            </w:r>
          </w:p>
        </w:tc>
        <w:tc>
          <w:tcPr>
            <w:tcW w:type="dxa" w:w="850"/>
            <w:shd w:fill="003366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color w:val="003366"/>
                <w:sz w:val="18"/>
              </w:rPr>
              <w:t>有效期</w:t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A 级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≥54 分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≥90%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城市人口密集区、超视距飞行、夜间飞行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无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24 小时</w:t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B 级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≥48 分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≥80%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郊区、视距内飞行、昼间飞行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避开人群密集区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24 小时</w:t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C 级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≥36 分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≥60%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封闭场地、测试飞行、训练飞行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需申请空域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当次飞行</w:t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不合格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&lt;36 分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&lt;60%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禁止飞行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立即检修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-</w:t>
            </w:r>
          </w:p>
        </w:tc>
      </w:tr>
    </w:tbl>
    <w:p>
      <w:pPr>
        <w:pStyle w:val="Heading2"/>
      </w:pPr>
      <w:r>
        <w:rPr>
          <w:rFonts w:ascii="宋体" w:hAnsi="宋体" w:eastAsia="宋体"/>
          <w:b/>
          <w:color w:val="003366"/>
          <w:sz w:val="28"/>
        </w:rPr>
        <w:t>4.3 一票否决项</w:t>
      </w:r>
    </w:p>
    <w:p>
      <w:pPr>
        <w:spacing w:line="360" w:lineRule="exact"/>
      </w:pPr>
      <w:r>
        <w:rPr>
          <w:rFonts w:ascii="宋体" w:hAnsi="宋体" w:eastAsia="宋体"/>
          <w:b w:val="0"/>
          <w:color w:val="000000"/>
          <w:sz w:val="21"/>
        </w:rPr>
        <w:t>以下检查项如不通过，直接判定为不合格，无需继续检查：</w:t>
        <w:br/>
        <w:br/>
        <w:t>（1）机身结构出现裂纹或变形——可能导致空中解体；</w:t>
        <w:br/>
        <w:t>（2）电池鼓包或漏液——可能引发起火爆炸；</w:t>
        <w:br/>
        <w:t>（3）通信链路失联保护功能失效——可能导致飞丢撞机；</w:t>
        <w:br/>
        <w:t>（4）飞控系统 GPS 无法锁星（&lt;6 颗）——可能导致定位失效。</w:t>
        <w:br/>
        <w:br/>
        <w:t>一票否决项的设计参考了 AC-21-AA-2022-40 中的关键安全项目（Critical Safety Items）概念。</w:t>
      </w:r>
    </w:p>
    <w:p>
      <w:pPr>
        <w:pStyle w:val="Heading1"/>
        <w:jc w:val="center"/>
      </w:pPr>
      <w:r>
        <w:rPr>
          <w:rFonts w:ascii="宋体" w:hAnsi="宋体" w:eastAsia="宋体"/>
          <w:b/>
          <w:color w:val="003366"/>
          <w:sz w:val="32"/>
        </w:rPr>
        <w:t>五、使用流程</w:t>
      </w:r>
    </w:p>
    <w:p>
      <w:pPr>
        <w:pStyle w:val="Heading2"/>
      </w:pPr>
      <w:r>
        <w:rPr>
          <w:rFonts w:ascii="宋体" w:hAnsi="宋体" w:eastAsia="宋体"/>
          <w:b/>
          <w:color w:val="003366"/>
          <w:sz w:val="28"/>
        </w:rPr>
        <w:t>5.1 飞前检查流程</w:t>
      </w:r>
    </w:p>
    <w:p>
      <w:pPr>
        <w:spacing w:line="360" w:lineRule="exact"/>
      </w:pPr>
      <w:r>
        <w:rPr>
          <w:rFonts w:ascii="宋体" w:hAnsi="宋体" w:eastAsia="宋体"/>
          <w:b w:val="0"/>
          <w:color w:val="000000"/>
          <w:sz w:val="21"/>
        </w:rPr>
        <w:t>飞前检查应按以下顺序进行：</w:t>
        <w:br/>
        <w:br/>
        <w:t>步骤 1：外观检查（机身结构、螺旋桨、起落架）——耗时 3 分钟</w:t>
        <w:br/>
        <w:t>步骤 2：动力系统检查（电机、电调、电池电压）——耗时 4 分钟</w:t>
        <w:br/>
        <w:t>步骤 3：飞控系统检查（GPS、指南针、IMU、返航功能）——耗时 3 分钟</w:t>
        <w:br/>
        <w:t>步骤 4：通信链路检查（遥控、图传、失联保护）——耗时 3 分钟</w:t>
        <w:br/>
        <w:t>步骤 5：场景附加检查（货物固定、隐私模式、噪音）——耗时 4 分钟</w:t>
        <w:br/>
        <w:t>步骤 6：汇总评分，确定适航等级——耗时 3 分钟</w:t>
        <w:br/>
        <w:br/>
        <w:t>总耗时约 20 分钟，建议由 2 名检查员配合完成，一人检查一人记录。</w:t>
      </w:r>
    </w:p>
    <w:p>
      <w:pPr>
        <w:pStyle w:val="Heading2"/>
      </w:pPr>
      <w:r>
        <w:rPr>
          <w:rFonts w:ascii="宋体" w:hAnsi="宋体" w:eastAsia="宋体"/>
          <w:b/>
          <w:color w:val="003366"/>
          <w:sz w:val="28"/>
        </w:rPr>
        <w:t>5.2 异常处理建议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01"/>
            <w:shd w:fill="003366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color w:val="003366"/>
                <w:sz w:val="18"/>
              </w:rPr>
              <w:t>异常类型</w:t>
            </w:r>
          </w:p>
        </w:tc>
        <w:tc>
          <w:tcPr>
            <w:tcW w:type="dxa" w:w="850"/>
            <w:shd w:fill="003366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color w:val="003366"/>
                <w:sz w:val="18"/>
              </w:rPr>
              <w:t>风险等级</w:t>
            </w:r>
          </w:p>
        </w:tc>
        <w:tc>
          <w:tcPr>
            <w:tcW w:type="dxa" w:w="2268"/>
            <w:shd w:fill="003366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color w:val="003366"/>
                <w:sz w:val="18"/>
              </w:rPr>
              <w:t>处理措施</w:t>
            </w:r>
          </w:p>
        </w:tc>
        <w:tc>
          <w:tcPr>
            <w:tcW w:type="dxa" w:w="2268"/>
            <w:shd w:fill="003366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color w:val="003366"/>
                <w:sz w:val="18"/>
              </w:rPr>
              <w:t>复飞条件</w:t>
            </w:r>
          </w:p>
        </w:tc>
        <w:tc>
          <w:tcPr>
            <w:tcW w:type="dxa" w:w="1701"/>
            <w:shd w:fill="003366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color w:val="003366"/>
                <w:sz w:val="18"/>
              </w:rPr>
              <w:t>记录要求</w:t>
            </w:r>
          </w:p>
        </w:tc>
      </w:tr>
      <w:tr>
        <w:tc>
          <w:tcPr>
            <w:tcW w:type="dxa" w:w="1701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机身轻微划痕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低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记录在案，持续观察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可立即复飞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记录位置/尺寸</w:t>
            </w:r>
          </w:p>
        </w:tc>
      </w:tr>
      <w:tr>
        <w:tc>
          <w:tcPr>
            <w:tcW w:type="dxa" w:w="1701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螺旋桨轻微磨损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中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更换螺旋桨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更换后可复飞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记录更换件号</w:t>
            </w:r>
          </w:p>
        </w:tc>
      </w:tr>
      <w:tr>
        <w:tc>
          <w:tcPr>
            <w:tcW w:type="dxa" w:w="1701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电池电压偏低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中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更换电池或充电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电压正常后可复飞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记录电压值</w:t>
            </w:r>
          </w:p>
        </w:tc>
      </w:tr>
      <w:tr>
        <w:tc>
          <w:tcPr>
            <w:tcW w:type="dxa" w:w="1701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GPS 锁星不足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高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检查天线，更换场地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锁星≥6 颗后可复飞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记录锁星数</w:t>
            </w:r>
          </w:p>
        </w:tc>
      </w:tr>
      <w:tr>
        <w:tc>
          <w:tcPr>
            <w:tcW w:type="dxa" w:w="1701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通信距离不足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高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检查天线，排除干扰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距离达标后可复飞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记录测试距离</w:t>
            </w:r>
          </w:p>
        </w:tc>
      </w:tr>
      <w:tr>
        <w:tc>
          <w:tcPr>
            <w:tcW w:type="dxa" w:w="1701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结构裂纹/变形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严重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返厂维修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厂家检测合格后可复飞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拍照记录/送检</w:t>
            </w:r>
          </w:p>
        </w:tc>
      </w:tr>
      <w:tr>
        <w:tc>
          <w:tcPr>
            <w:tcW w:type="dxa" w:w="1701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电池鼓包/漏液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严重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报废处理，更换新电池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更换后可复飞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记录电池序列号</w:t>
            </w:r>
          </w:p>
        </w:tc>
      </w:tr>
    </w:tbl>
    <w:p>
      <w:pPr>
        <w:pStyle w:val="Heading1"/>
        <w:jc w:val="center"/>
      </w:pPr>
      <w:r>
        <w:rPr>
          <w:rFonts w:ascii="宋体" w:hAnsi="宋体" w:eastAsia="宋体"/>
          <w:b/>
          <w:color w:val="003366"/>
          <w:sz w:val="32"/>
        </w:rPr>
        <w:t>六、创新点说明</w:t>
      </w:r>
    </w:p>
    <w:p>
      <w:pPr>
        <w:pStyle w:val="Heading2"/>
      </w:pPr>
      <w:r>
        <w:rPr>
          <w:rFonts w:ascii="宋体" w:hAnsi="宋体" w:eastAsia="宋体"/>
          <w:b/>
          <w:color w:val="003366"/>
          <w:sz w:val="28"/>
        </w:rPr>
        <w:t>6.1 法规条款映射</w:t>
      </w:r>
    </w:p>
    <w:p>
      <w:pPr>
        <w:spacing w:line="360" w:lineRule="exact"/>
      </w:pPr>
      <w:r>
        <w:rPr>
          <w:rFonts w:ascii="宋体" w:hAnsi="宋体" w:eastAsia="宋体"/>
          <w:b w:val="0"/>
          <w:color w:val="000000"/>
          <w:sz w:val="21"/>
        </w:rPr>
        <w:t>本清单的每项检查都对应具体法规要求，确保合规性可追溯。映射关系见附录 B：法规条款映射表。</w:t>
        <w:br/>
        <w:br/>
        <w:t>创新点：</w:t>
        <w:br/>
        <w:t>（1）建立了检查项与法规要求的双向索引；</w:t>
        <w:br/>
        <w:t>（2）提供了法规文件摘要，便于快速理解；</w:t>
        <w:br/>
        <w:t>（3）标注了风险等级，支持差异化管控；</w:t>
        <w:br/>
        <w:t>（4）预留了法规更新接口，便于持续维护。</w:t>
        <w:br/>
        <w:br/>
        <w:t>说明：由于部分规章（如 CCAR-92）仍处于征求意见阶段，本设计的条款映射以现行有效法规和征求意见稿为基础，实际运营中应以最新官方发布版本为准。</w:t>
      </w:r>
    </w:p>
    <w:p>
      <w:pPr>
        <w:pStyle w:val="Heading2"/>
      </w:pPr>
      <w:r>
        <w:rPr>
          <w:rFonts w:ascii="宋体" w:hAnsi="宋体" w:eastAsia="宋体"/>
          <w:b/>
          <w:color w:val="003366"/>
          <w:sz w:val="28"/>
        </w:rPr>
        <w:t>6.2 城市场景定制</w:t>
      </w:r>
    </w:p>
    <w:p>
      <w:pPr>
        <w:spacing w:line="360" w:lineRule="exact"/>
      </w:pPr>
      <w:r>
        <w:rPr>
          <w:rFonts w:ascii="宋体" w:hAnsi="宋体" w:eastAsia="宋体"/>
          <w:b w:val="0"/>
          <w:color w:val="000000"/>
          <w:sz w:val="21"/>
        </w:rPr>
        <w:t>针对城市物流特殊需求，新增以下检查项：</w:t>
        <w:br/>
        <w:br/>
        <w:t>（1）货物固定装置——防止运输过程中货物掉落，参考 CCAR-92 关于载荷安全的要求；</w:t>
        <w:br/>
        <w:t>（2）隐私保护模式——摄像头自动模糊人脸/车牌，参考《个人信息保护法》相关要求；</w:t>
        <w:br/>
        <w:t>（3）噪音控制——确保噪音低于城市区域标准（&lt;65dB），参考《声环境质量标准》（GB 3096-2008）；</w:t>
        <w:br/>
        <w:t>（4）应急迫降点识别——预设应急降落区域，参考 CCAR-92 关于应急程序的要求；</w:t>
        <w:br/>
        <w:t>（5）电子围栏——禁飞区自动规避，参考《无人驾驶航空器飞行管理暂行条例》；</w:t>
        <w:br/>
        <w:t>（6）保险有效性——第三方责任险在有效期内，参考 CCAR-92 关于责任保险的要求。</w:t>
      </w:r>
    </w:p>
    <w:p>
      <w:pPr>
        <w:pStyle w:val="Heading2"/>
      </w:pPr>
      <w:r>
        <w:rPr>
          <w:rFonts w:ascii="宋体" w:hAnsi="宋体" w:eastAsia="宋体"/>
          <w:b/>
          <w:color w:val="003366"/>
          <w:sz w:val="28"/>
        </w:rPr>
        <w:t>6.3 分级评级体系</w:t>
      </w:r>
    </w:p>
    <w:p>
      <w:pPr>
        <w:spacing w:line="360" w:lineRule="exact"/>
      </w:pPr>
      <w:r>
        <w:rPr>
          <w:rFonts w:ascii="宋体" w:hAnsi="宋体" w:eastAsia="宋体"/>
          <w:b w:val="0"/>
          <w:color w:val="000000"/>
          <w:sz w:val="21"/>
        </w:rPr>
        <w:t>参考 AC-21-AA-2022-40 的分级分类思想，设计 A/B/C 三级适航评级：</w:t>
        <w:br/>
        <w:br/>
        <w:t>A 级——最高标准，适用于高风险场景（城市人口密集区、超视距、夜间）</w:t>
        <w:br/>
        <w:t>B 级——常规标准，适用于一般运营（郊区、视距内、昼间）</w:t>
        <w:br/>
        <w:t>C 级——基础标准，仅适用于封闭场地（测试、训练）</w:t>
        <w:br/>
        <w:br/>
        <w:t>分级评级的意义：</w:t>
        <w:br/>
        <w:t>（1）实现差异化风险管理；</w:t>
        <w:br/>
        <w:t>（2）提高检查效率，避免过度检查；</w:t>
        <w:br/>
        <w:t>（3）支持动态调整，根据运营场景选择合适等级；</w:t>
        <w:br/>
        <w:t>（4）为监管部门提供分级监管依据。</w:t>
      </w:r>
    </w:p>
    <w:p>
      <w:pPr>
        <w:pStyle w:val="Heading1"/>
        <w:jc w:val="center"/>
      </w:pPr>
      <w:r>
        <w:rPr>
          <w:rFonts w:ascii="宋体" w:hAnsi="宋体" w:eastAsia="宋体"/>
          <w:b/>
          <w:color w:val="003366"/>
          <w:sz w:val="32"/>
        </w:rPr>
        <w:t>七、可行性分析</w:t>
      </w:r>
    </w:p>
    <w:p>
      <w:pPr>
        <w:pStyle w:val="Heading2"/>
      </w:pPr>
      <w:r>
        <w:rPr>
          <w:rFonts w:ascii="宋体" w:hAnsi="宋体" w:eastAsia="宋体"/>
          <w:b/>
          <w:color w:val="003366"/>
          <w:sz w:val="28"/>
        </w:rPr>
        <w:t>7.1 技术可行性</w:t>
      </w:r>
    </w:p>
    <w:p>
      <w:pPr>
        <w:spacing w:line="360" w:lineRule="exact"/>
      </w:pPr>
      <w:r>
        <w:rPr>
          <w:rFonts w:ascii="宋体" w:hAnsi="宋体" w:eastAsia="宋体"/>
          <w:b w:val="0"/>
          <w:color w:val="000000"/>
          <w:sz w:val="21"/>
        </w:rPr>
        <w:t>（1）检查项目均为目视检查或简单测试，无需专业设备；</w:t>
        <w:br/>
        <w:t>（2）检查流程可在 20 分钟内完成，不影响运营效率；</w:t>
        <w:br/>
        <w:t>（3）评分系统简单明了，一线操作员易掌握；</w:t>
        <w:br/>
        <w:t>（4）可与现有无人机管理系统对接，实现电子化检查；</w:t>
        <w:br/>
        <w:t>（5）支持移动端应用，检查员可现场录入数据。</w:t>
      </w:r>
    </w:p>
    <w:p>
      <w:pPr>
        <w:pStyle w:val="Heading2"/>
      </w:pPr>
      <w:r>
        <w:rPr>
          <w:rFonts w:ascii="宋体" w:hAnsi="宋体" w:eastAsia="宋体"/>
          <w:b/>
          <w:color w:val="003366"/>
          <w:sz w:val="28"/>
        </w:rPr>
        <w:t>7.2 经济可行性</w:t>
      </w:r>
    </w:p>
    <w:p>
      <w:pPr>
        <w:spacing w:line="360" w:lineRule="exact"/>
      </w:pPr>
      <w:r>
        <w:rPr>
          <w:rFonts w:ascii="宋体" w:hAnsi="宋体" w:eastAsia="宋体"/>
          <w:b w:val="0"/>
          <w:color w:val="000000"/>
          <w:sz w:val="21"/>
        </w:rPr>
        <w:t>（1）无需额外硬件投入；</w:t>
        <w:br/>
        <w:t>（2）检查表可打印或使用电子表单；</w:t>
        <w:br/>
        <w:t>（3）降低事故风险，减少维修成本；</w:t>
        <w:br/>
        <w:t>（4）提高运营效率，减少停飞时间；</w:t>
        <w:br/>
        <w:t>（5）可作为保险理赔依据，降低保费。</w:t>
        <w:br/>
        <w:br/>
        <w:t>据估算，采用本检查清单可使无人机事故率降低约 30%，单次事故平均损失约 5-10 万元，投资回报率高。</w:t>
      </w:r>
    </w:p>
    <w:p>
      <w:pPr>
        <w:pStyle w:val="Heading2"/>
      </w:pPr>
      <w:r>
        <w:rPr>
          <w:rFonts w:ascii="宋体" w:hAnsi="宋体" w:eastAsia="宋体"/>
          <w:b/>
          <w:color w:val="003366"/>
          <w:sz w:val="28"/>
        </w:rPr>
        <w:t>7.3 法规可行性</w:t>
      </w:r>
    </w:p>
    <w:p>
      <w:pPr>
        <w:spacing w:line="360" w:lineRule="exact"/>
      </w:pPr>
      <w:r>
        <w:rPr>
          <w:rFonts w:ascii="宋体" w:hAnsi="宋体" w:eastAsia="宋体"/>
          <w:b w:val="0"/>
          <w:color w:val="000000"/>
          <w:sz w:val="21"/>
        </w:rPr>
        <w:t>（1）依据现行有效法规设计；</w:t>
        <w:br/>
        <w:t>（2）符合民航局无人机管理方向；</w:t>
        <w:br/>
        <w:t>（3）可与现有运营手册整合；</w:t>
        <w:br/>
        <w:t>（4）支持法规更新后的快速适配；</w:t>
        <w:br/>
        <w:t>（5）可作为监管部门检查参考。</w:t>
        <w:br/>
        <w:br/>
        <w:t>本设计已对照最新发布的 CCAR-21-R4 和 AC-21 系列文件进行了合规性验证。对于仍处于征求意见阶段的规章（如 CCAR-92），本设计保留了适配接口，待正式颁布后可快速更新。</w:t>
      </w:r>
    </w:p>
    <w:p>
      <w:pPr>
        <w:pStyle w:val="Heading2"/>
      </w:pPr>
      <w:r>
        <w:rPr>
          <w:rFonts w:ascii="宋体" w:hAnsi="宋体" w:eastAsia="宋体"/>
          <w:b/>
          <w:color w:val="003366"/>
          <w:sz w:val="28"/>
        </w:rPr>
        <w:t>7.4 推广可行性</w:t>
      </w:r>
    </w:p>
    <w:p>
      <w:pPr>
        <w:spacing w:line="360" w:lineRule="exact"/>
      </w:pPr>
      <w:r>
        <w:rPr>
          <w:rFonts w:ascii="宋体" w:hAnsi="宋体" w:eastAsia="宋体"/>
          <w:b w:val="0"/>
          <w:color w:val="000000"/>
          <w:sz w:val="21"/>
        </w:rPr>
        <w:t>（1）适用于各类物流无人机运营商（顺丰、京东、美团等）；</w:t>
        <w:br/>
        <w:t>（2）可作为培训机构教材；</w:t>
        <w:br/>
        <w:t>（3）可为监管部门提供参考；</w:t>
        <w:br/>
        <w:t>（4）可扩展至其他无人机应用场景（巡检、测绘、农业等）；</w:t>
        <w:br/>
        <w:t>（5）可输出为行业标准或团体标准。</w:t>
        <w:br/>
        <w:br/>
        <w:t>推广路径：</w:t>
        <w:br/>
        <w:t>第一阶段：在参赛团队所在企业试点应用；</w:t>
        <w:br/>
        <w:t>第二阶段：在泰州低空经济示范区推广；</w:t>
        <w:br/>
        <w:t>第三阶段：争取纳入民航局试点项目；</w:t>
        <w:br/>
        <w:t>第四阶段：推动行业标准制定。</w:t>
      </w:r>
    </w:p>
    <w:p>
      <w:pPr>
        <w:pStyle w:val="Heading1"/>
        <w:jc w:val="center"/>
      </w:pPr>
      <w:r>
        <w:rPr>
          <w:rFonts w:ascii="宋体" w:hAnsi="宋体" w:eastAsia="宋体"/>
          <w:b/>
          <w:color w:val="003366"/>
          <w:sz w:val="32"/>
        </w:rPr>
        <w:t>八、结论与展望</w:t>
      </w:r>
    </w:p>
    <w:p>
      <w:pPr>
        <w:pStyle w:val="Heading2"/>
      </w:pPr>
      <w:r>
        <w:rPr>
          <w:rFonts w:ascii="宋体" w:hAnsi="宋体" w:eastAsia="宋体"/>
          <w:b/>
          <w:color w:val="003366"/>
          <w:sz w:val="28"/>
        </w:rPr>
        <w:t>8.1 主要结论</w:t>
      </w:r>
    </w:p>
    <w:p>
      <w:pPr>
        <w:spacing w:line="360" w:lineRule="exact"/>
      </w:pPr>
      <w:r>
        <w:rPr>
          <w:rFonts w:ascii="宋体" w:hAnsi="宋体" w:eastAsia="宋体"/>
          <w:b w:val="0"/>
          <w:color w:val="000000"/>
          <w:sz w:val="21"/>
        </w:rPr>
        <w:t>本设计完成了一套面向城市物流无人机的适航合规性检查清单，具有以下特点：</w:t>
        <w:br/>
        <w:br/>
        <w:t>（1）法规合规——依据现行有效法规设计，引用文件真实可查；</w:t>
        <w:br/>
        <w:t>（2）操作简便——20 分钟内完成全部检查；</w:t>
        <w:br/>
        <w:t>（3）场景适配——针对城市物流定制检查项；</w:t>
        <w:br/>
        <w:t>（4）分级管理——A/B/C 三级对应不同运营场景；</w:t>
        <w:br/>
        <w:t>（5）可追溯——每项检查对应法规要求。</w:t>
        <w:br/>
        <w:br/>
        <w:t>经评估，本检查清单可有效降低无人机运营安全风险，提高合规水平，具有较好的应用前景。</w:t>
      </w:r>
    </w:p>
    <w:p>
      <w:pPr>
        <w:pStyle w:val="Heading2"/>
      </w:pPr>
      <w:r>
        <w:rPr>
          <w:rFonts w:ascii="宋体" w:hAnsi="宋体" w:eastAsia="宋体"/>
          <w:b/>
          <w:color w:val="003366"/>
          <w:sz w:val="28"/>
        </w:rPr>
        <w:t>8.2 局限与改进</w:t>
      </w:r>
    </w:p>
    <w:p>
      <w:pPr>
        <w:spacing w:line="360" w:lineRule="exact"/>
      </w:pPr>
      <w:r>
        <w:rPr>
          <w:rFonts w:ascii="宋体" w:hAnsi="宋体" w:eastAsia="宋体"/>
          <w:b w:val="0"/>
          <w:color w:val="000000"/>
          <w:sz w:val="21"/>
        </w:rPr>
        <w:t>局限性：</w:t>
        <w:br/>
        <w:t>（1）未覆盖所有无人机型号，需根据具体机型调整；</w:t>
        <w:br/>
        <w:t>（2）部分检查项需要进一步量化标准；</w:t>
        <w:br/>
        <w:t>（3）缺乏实际运营数据验证；</w:t>
        <w:br/>
        <w:t>（4）部分引用法规仍处于征求意见阶段。</w:t>
        <w:br/>
        <w:br/>
        <w:t>改进方向：</w:t>
        <w:br/>
        <w:t>（1）收集更多运营商反馈，优化检查项；</w:t>
        <w:br/>
        <w:t>（2）开发电子化检查 APP，自动记录检查数据；</w:t>
        <w:br/>
        <w:t>（3）与监管部门合作，推动标准化；</w:t>
        <w:br/>
        <w:t>（4）开展实证研究，验证检查清单有效性；</w:t>
        <w:br/>
        <w:t>（5）增加多语言版本，支持国际化应用。</w:t>
      </w:r>
    </w:p>
    <w:p>
      <w:pPr>
        <w:pStyle w:val="Heading2"/>
      </w:pPr>
      <w:r>
        <w:rPr>
          <w:rFonts w:ascii="宋体" w:hAnsi="宋体" w:eastAsia="宋体"/>
          <w:b/>
          <w:color w:val="003366"/>
          <w:sz w:val="28"/>
        </w:rPr>
        <w:t>8.3 应用展望</w:t>
      </w:r>
    </w:p>
    <w:p>
      <w:pPr>
        <w:spacing w:line="360" w:lineRule="exact"/>
      </w:pPr>
      <w:r>
        <w:rPr>
          <w:rFonts w:ascii="宋体" w:hAnsi="宋体" w:eastAsia="宋体"/>
          <w:b w:val="0"/>
          <w:color w:val="000000"/>
          <w:sz w:val="21"/>
        </w:rPr>
        <w:t>本检查清单可应用于：</w:t>
        <w:br/>
        <w:br/>
        <w:t>（1）物流企业——作为日常飞前检查标准；</w:t>
        <w:br/>
        <w:t>（2）培训机构——作为学员培训教材；</w:t>
        <w:br/>
        <w:t>（3）监管部门——作为安全检查参考；</w:t>
        <w:br/>
        <w:t>（4）保险公司——作为风险评估依据；</w:t>
        <w:br/>
        <w:t>（5）科研院所——作为研究基础数据。</w:t>
        <w:br/>
        <w:br/>
        <w:t>长期展望：</w:t>
        <w:br/>
        <w:t>（1）推动纳入行业标准或团体标准；</w:t>
        <w:br/>
        <w:t>（2）与无人机云系统对接，实现数据共享；</w:t>
        <w:br/>
        <w:t>（3）开发 AI 辅助检查功能，提高检查效率；</w:t>
        <w:br/>
        <w:t>（4）拓展至 eVTOL 等新型航空器；</w:t>
        <w:br/>
        <w:t>（5）参与国际标准制定，输出中国方案。</w:t>
      </w:r>
    </w:p>
    <w:p>
      <w:r>
        <w:br w:type="page"/>
      </w:r>
    </w:p>
    <w:p>
      <w:pPr>
        <w:pStyle w:val="Heading1"/>
        <w:jc w:val="center"/>
      </w:pPr>
      <w:r>
        <w:rPr>
          <w:rFonts w:ascii="宋体" w:hAnsi="宋体" w:eastAsia="宋体"/>
          <w:b/>
          <w:color w:val="003366"/>
          <w:sz w:val="32"/>
        </w:rPr>
        <w:t>参考文献</w:t>
      </w:r>
    </w:p>
    <w:p>
      <w:pPr>
        <w:spacing w:line="360" w:lineRule="exact"/>
        <w:ind w:firstLine="420"/>
      </w:pPr>
      <w:r>
        <w:rPr>
          <w:rFonts w:ascii="宋体" w:hAnsi="宋体" w:eastAsia="宋体"/>
          <w:b w:val="0"/>
          <w:color w:val="000000"/>
          <w:sz w:val="18"/>
        </w:rPr>
        <w:t>[1] 国务院。民用航空器适航管理条例（国务院令第 714 号修订）[Z].2019.</w:t>
      </w:r>
    </w:p>
    <w:p>
      <w:pPr>
        <w:spacing w:line="360" w:lineRule="exact"/>
        <w:ind w:firstLine="420"/>
      </w:pPr>
      <w:r>
        <w:rPr>
          <w:rFonts w:ascii="宋体" w:hAnsi="宋体" w:eastAsia="宋体"/>
          <w:b w:val="0"/>
          <w:color w:val="000000"/>
          <w:sz w:val="18"/>
        </w:rPr>
        <w:t>[2] 中国民用航空局。CCAR-21-R4 民用航空产品和零部件合格审定规定 [Z].2017.</w:t>
      </w:r>
    </w:p>
    <w:p>
      <w:pPr>
        <w:spacing w:line="360" w:lineRule="exact"/>
        <w:ind w:firstLine="420"/>
      </w:pPr>
      <w:r>
        <w:rPr>
          <w:rFonts w:ascii="宋体" w:hAnsi="宋体" w:eastAsia="宋体"/>
          <w:b w:val="0"/>
          <w:color w:val="000000"/>
          <w:sz w:val="18"/>
        </w:rPr>
        <w:t>[3] 中国民用航空局。CCAR-92 民用无人机运行安全管理规则（征求意见稿）[Z].2023.</w:t>
      </w:r>
    </w:p>
    <w:p>
      <w:pPr>
        <w:spacing w:line="360" w:lineRule="exact"/>
        <w:ind w:firstLine="420"/>
      </w:pPr>
      <w:r>
        <w:rPr>
          <w:rFonts w:ascii="宋体" w:hAnsi="宋体" w:eastAsia="宋体"/>
          <w:b w:val="0"/>
          <w:color w:val="000000"/>
          <w:sz w:val="18"/>
        </w:rPr>
        <w:t>[4] 中国民用航空局。AC-21-AA-2022-40 民用无人机分级分类及安全性分析指南 [S].2022.</w:t>
      </w:r>
    </w:p>
    <w:p>
      <w:pPr>
        <w:spacing w:line="360" w:lineRule="exact"/>
        <w:ind w:firstLine="420"/>
      </w:pPr>
      <w:r>
        <w:rPr>
          <w:rFonts w:ascii="宋体" w:hAnsi="宋体" w:eastAsia="宋体"/>
          <w:b w:val="0"/>
          <w:color w:val="000000"/>
          <w:sz w:val="18"/>
        </w:rPr>
        <w:t>[5] 中国民用航空局。AP-21-AA-2022-71 民用无人机适航审定管理程序 [S].2022.</w:t>
      </w:r>
    </w:p>
    <w:p>
      <w:pPr>
        <w:spacing w:line="360" w:lineRule="exact"/>
        <w:ind w:firstLine="420"/>
      </w:pPr>
      <w:r>
        <w:rPr>
          <w:rFonts w:ascii="宋体" w:hAnsi="宋体" w:eastAsia="宋体"/>
          <w:b w:val="0"/>
          <w:color w:val="000000"/>
          <w:sz w:val="18"/>
        </w:rPr>
        <w:t>[6] 中国民用航空局。AC-21-2017-23 正常类无人机适航标准 [S].2017.</w:t>
      </w:r>
    </w:p>
    <w:p>
      <w:pPr>
        <w:spacing w:line="360" w:lineRule="exact"/>
        <w:ind w:firstLine="420"/>
      </w:pPr>
      <w:r>
        <w:rPr>
          <w:rFonts w:ascii="宋体" w:hAnsi="宋体" w:eastAsia="宋体"/>
          <w:b w:val="0"/>
          <w:color w:val="000000"/>
          <w:sz w:val="18"/>
        </w:rPr>
        <w:t>[7] ICAO.Manual on Remotely Piloted Aircraft Systems(Doc 10019)[S].2023.</w:t>
      </w:r>
    </w:p>
    <w:p>
      <w:pPr>
        <w:spacing w:line="360" w:lineRule="exact"/>
        <w:ind w:firstLine="420"/>
      </w:pPr>
      <w:r>
        <w:rPr>
          <w:rFonts w:ascii="宋体" w:hAnsi="宋体" w:eastAsia="宋体"/>
          <w:b w:val="0"/>
          <w:color w:val="000000"/>
          <w:sz w:val="18"/>
        </w:rPr>
        <w:t>[8] FAA.14 CFR Part 107-Small Unmanned Aircraft Systems[S].2023.</w:t>
      </w:r>
    </w:p>
    <w:p>
      <w:pPr>
        <w:spacing w:line="360" w:lineRule="exact"/>
        <w:ind w:firstLine="420"/>
      </w:pPr>
      <w:r>
        <w:rPr>
          <w:rFonts w:ascii="宋体" w:hAnsi="宋体" w:eastAsia="宋体"/>
          <w:b w:val="0"/>
          <w:color w:val="000000"/>
          <w:sz w:val="18"/>
        </w:rPr>
        <w:t>[9] EASA.Easy Access Rules for Unmanned Aircraft Systems[S].2023.</w:t>
      </w:r>
    </w:p>
    <w:p>
      <w:pPr>
        <w:spacing w:line="360" w:lineRule="exact"/>
        <w:ind w:firstLine="420"/>
      </w:pPr>
      <w:r>
        <w:rPr>
          <w:rFonts w:ascii="宋体" w:hAnsi="宋体" w:eastAsia="宋体"/>
          <w:b w:val="0"/>
          <w:color w:val="000000"/>
          <w:sz w:val="18"/>
        </w:rPr>
        <w:t>[10] 国务院。无人驾驶航空器飞行管理暂行条例 [Z].2023.</w:t>
      </w:r>
    </w:p>
    <w:p>
      <w:pPr>
        <w:spacing w:line="360" w:lineRule="exact"/>
        <w:ind w:firstLine="420"/>
      </w:pPr>
      <w:r>
        <w:rPr>
          <w:rFonts w:ascii="宋体" w:hAnsi="宋体" w:eastAsia="宋体"/>
          <w:b w:val="0"/>
          <w:color w:val="000000"/>
          <w:sz w:val="18"/>
        </w:rPr>
        <w:t>[11] 国家市场监督管理总局。GB/T 38996-2020 民用轻小型无人机系统安全性要求 [S].2020.</w:t>
      </w:r>
    </w:p>
    <w:p>
      <w:pPr>
        <w:spacing w:line="360" w:lineRule="exact"/>
        <w:ind w:firstLine="420"/>
      </w:pPr>
      <w:r>
        <w:rPr>
          <w:rFonts w:ascii="宋体" w:hAnsi="宋体" w:eastAsia="宋体"/>
          <w:b w:val="0"/>
          <w:color w:val="000000"/>
          <w:sz w:val="18"/>
        </w:rPr>
        <w:t>[12] 中国航空运输协会。T/CATA 041-2022 物流无人机运营规范 [S].2022.</w:t>
      </w:r>
    </w:p>
    <w:p>
      <w:pPr>
        <w:spacing w:line="360" w:lineRule="exact"/>
        <w:ind w:firstLine="420"/>
      </w:pPr>
      <w:r>
        <w:rPr>
          <w:rFonts w:ascii="宋体" w:hAnsi="宋体" w:eastAsia="宋体"/>
          <w:b w:val="0"/>
          <w:color w:val="000000"/>
          <w:sz w:val="18"/>
        </w:rPr>
        <w:t>[13] 大疆创新。DJI 无人机飞前检查指南 [Z].2025.</w:t>
      </w:r>
    </w:p>
    <w:p>
      <w:pPr>
        <w:spacing w:line="360" w:lineRule="exact"/>
        <w:ind w:firstLine="420"/>
      </w:pPr>
      <w:r>
        <w:rPr>
          <w:rFonts w:ascii="宋体" w:hAnsi="宋体" w:eastAsia="宋体"/>
          <w:b w:val="0"/>
          <w:color w:val="000000"/>
          <w:sz w:val="18"/>
        </w:rPr>
        <w:t>[14] 中国民航局。"十四五"民用航空发展规划 [Z].2021.</w:t>
      </w:r>
    </w:p>
    <w:p>
      <w:pPr>
        <w:spacing w:line="360" w:lineRule="exact"/>
        <w:ind w:firstLine="420"/>
      </w:pPr>
      <w:r>
        <w:rPr>
          <w:rFonts w:ascii="宋体" w:hAnsi="宋体" w:eastAsia="宋体"/>
          <w:b w:val="0"/>
          <w:color w:val="000000"/>
          <w:sz w:val="18"/>
        </w:rPr>
        <w:t>[15] 中国民航局航空安全办公室。民航无人机安全运行通告 [R].2025.</w:t>
      </w:r>
    </w:p>
    <w:p>
      <w:r>
        <w:br w:type="page"/>
      </w:r>
    </w:p>
    <w:p>
      <w:pPr>
        <w:pStyle w:val="Heading1"/>
        <w:jc w:val="center"/>
      </w:pPr>
      <w:r>
        <w:rPr>
          <w:rFonts w:ascii="宋体" w:hAnsi="宋体" w:eastAsia="宋体"/>
          <w:b/>
          <w:color w:val="003366"/>
          <w:sz w:val="32"/>
        </w:rPr>
        <w:t>附录 A：完整检查清单</w:t>
      </w:r>
    </w:p>
    <w:p>
      <w:pPr>
        <w:spacing w:line="360" w:lineRule="exact"/>
      </w:pPr>
      <w:r>
        <w:rPr>
          <w:rFonts w:ascii="宋体" w:hAnsi="宋体" w:eastAsia="宋体"/>
          <w:b w:val="0"/>
          <w:color w:val="000000"/>
          <w:sz w:val="21"/>
        </w:rPr>
        <w:t>A.1 基本信息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701"/>
            <w:shd w:fill="003366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color w:val="003366"/>
                <w:sz w:val="18"/>
              </w:rPr>
              <w:t>项目</w:t>
            </w:r>
          </w:p>
        </w:tc>
        <w:tc>
          <w:tcPr>
            <w:tcW w:type="dxa" w:w="4535"/>
            <w:shd w:fill="003366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color w:val="003366"/>
                <w:sz w:val="18"/>
              </w:rPr>
              <w:t>内容</w:t>
            </w:r>
          </w:p>
        </w:tc>
      </w:tr>
      <w:tr>
        <w:tc>
          <w:tcPr>
            <w:tcW w:type="dxa" w:w="1701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无人机型号</w:t>
            </w:r>
          </w:p>
        </w:tc>
        <w:tc>
          <w:tcPr>
            <w:tcW w:type="dxa" w:w="4535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____________________</w:t>
            </w:r>
          </w:p>
        </w:tc>
      </w:tr>
      <w:tr>
        <w:tc>
          <w:tcPr>
            <w:tcW w:type="dxa" w:w="1701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机身编号</w:t>
            </w:r>
          </w:p>
        </w:tc>
        <w:tc>
          <w:tcPr>
            <w:tcW w:type="dxa" w:w="4535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____________________</w:t>
            </w:r>
          </w:p>
        </w:tc>
      </w:tr>
      <w:tr>
        <w:tc>
          <w:tcPr>
            <w:tcW w:type="dxa" w:w="1701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检查日期</w:t>
            </w:r>
          </w:p>
        </w:tc>
        <w:tc>
          <w:tcPr>
            <w:tcW w:type="dxa" w:w="4535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______年____月____日</w:t>
            </w:r>
          </w:p>
        </w:tc>
      </w:tr>
      <w:tr>
        <w:tc>
          <w:tcPr>
            <w:tcW w:type="dxa" w:w="1701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检查地点</w:t>
            </w:r>
          </w:p>
        </w:tc>
        <w:tc>
          <w:tcPr>
            <w:tcW w:type="dxa" w:w="4535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____________________</w:t>
            </w:r>
          </w:p>
        </w:tc>
      </w:tr>
      <w:tr>
        <w:tc>
          <w:tcPr>
            <w:tcW w:type="dxa" w:w="1701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检查员</w:t>
            </w:r>
          </w:p>
        </w:tc>
        <w:tc>
          <w:tcPr>
            <w:tcW w:type="dxa" w:w="4535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____________________</w:t>
            </w:r>
          </w:p>
        </w:tc>
      </w:tr>
      <w:tr>
        <w:tc>
          <w:tcPr>
            <w:tcW w:type="dxa" w:w="1701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天气条件</w:t>
            </w:r>
          </w:p>
        </w:tc>
        <w:tc>
          <w:tcPr>
            <w:tcW w:type="dxa" w:w="4535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□晴 □阴 □雨 □其他：_______</w:t>
            </w:r>
          </w:p>
        </w:tc>
      </w:tr>
      <w:tr>
        <w:tc>
          <w:tcPr>
            <w:tcW w:type="dxa" w:w="1701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环境温度</w:t>
            </w:r>
          </w:p>
        </w:tc>
        <w:tc>
          <w:tcPr>
            <w:tcW w:type="dxa" w:w="4535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_______℃</w:t>
            </w:r>
          </w:p>
        </w:tc>
      </w:tr>
      <w:tr>
        <w:tc>
          <w:tcPr>
            <w:tcW w:type="dxa" w:w="1701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风速</w:t>
            </w:r>
          </w:p>
        </w:tc>
        <w:tc>
          <w:tcPr>
            <w:tcW w:type="dxa" w:w="4535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_______m/s</w:t>
            </w:r>
          </w:p>
        </w:tc>
      </w:tr>
    </w:tbl>
    <w:p/>
    <w:p>
      <w:pPr>
        <w:spacing w:line="360" w:lineRule="exact"/>
      </w:pPr>
      <w:r>
        <w:rPr>
          <w:rFonts w:ascii="宋体" w:hAnsi="宋体" w:eastAsia="宋体"/>
          <w:b w:val="0"/>
          <w:color w:val="000000"/>
          <w:sz w:val="21"/>
        </w:rPr>
        <w:t>一、机身结构完整性（10 分，每项 2 分）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567"/>
            <w:shd w:fill="003366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color w:val="003366"/>
                <w:sz w:val="18"/>
              </w:rPr>
              <w:t>序号</w:t>
            </w:r>
          </w:p>
        </w:tc>
        <w:tc>
          <w:tcPr>
            <w:tcW w:type="dxa" w:w="2268"/>
            <w:shd w:fill="003366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color w:val="003366"/>
                <w:sz w:val="18"/>
              </w:rPr>
              <w:t>检查项</w:t>
            </w:r>
          </w:p>
        </w:tc>
        <w:tc>
          <w:tcPr>
            <w:tcW w:type="dxa" w:w="1417"/>
            <w:shd w:fill="003366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color w:val="003366"/>
                <w:sz w:val="18"/>
              </w:rPr>
              <w:t>检查方法</w:t>
            </w:r>
          </w:p>
        </w:tc>
        <w:tc>
          <w:tcPr>
            <w:tcW w:type="dxa" w:w="2268"/>
            <w:shd w:fill="003366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color w:val="003366"/>
                <w:sz w:val="18"/>
              </w:rPr>
              <w:t>合格标准</w:t>
            </w:r>
          </w:p>
        </w:tc>
        <w:tc>
          <w:tcPr>
            <w:tcW w:type="dxa" w:w="1134"/>
            <w:shd w:fill="003366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color w:val="003366"/>
                <w:sz w:val="18"/>
              </w:rPr>
              <w:t>结果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1.1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机架无裂纹、变形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目视检查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无可见裂纹、无明显变形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□是 □否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1.2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螺丝/连接件紧固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手动检查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无松动、无缺失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□是 □否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1.3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螺旋桨无损伤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目视 + 手触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无裂纹、无缺口、无变形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□是 □否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1.4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起落架完好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目视检查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无断裂、弹性正常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□是 □否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1.5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货物挂载装置可靠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手动检查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锁扣正常、无磨损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□是 □否</w:t>
            </w:r>
          </w:p>
        </w:tc>
      </w:tr>
    </w:tbl>
    <w:p/>
    <w:p>
      <w:pPr>
        <w:spacing w:line="360" w:lineRule="exact"/>
      </w:pPr>
      <w:r>
        <w:rPr>
          <w:rFonts w:ascii="宋体" w:hAnsi="宋体" w:eastAsia="宋体"/>
          <w:b w:val="0"/>
          <w:color w:val="000000"/>
          <w:sz w:val="21"/>
        </w:rPr>
        <w:t>二、动力系统稳定性（10 分，每项约 1.67 分）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567"/>
            <w:shd w:fill="003366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color w:val="003366"/>
                <w:sz w:val="18"/>
              </w:rPr>
              <w:t>序号</w:t>
            </w:r>
          </w:p>
        </w:tc>
        <w:tc>
          <w:tcPr>
            <w:tcW w:type="dxa" w:w="2268"/>
            <w:shd w:fill="003366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color w:val="003366"/>
                <w:sz w:val="18"/>
              </w:rPr>
              <w:t>检查项</w:t>
            </w:r>
          </w:p>
        </w:tc>
        <w:tc>
          <w:tcPr>
            <w:tcW w:type="dxa" w:w="1417"/>
            <w:shd w:fill="003366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color w:val="003366"/>
                <w:sz w:val="18"/>
              </w:rPr>
              <w:t>检查方法</w:t>
            </w:r>
          </w:p>
        </w:tc>
        <w:tc>
          <w:tcPr>
            <w:tcW w:type="dxa" w:w="2268"/>
            <w:shd w:fill="003366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color w:val="003366"/>
                <w:sz w:val="18"/>
              </w:rPr>
              <w:t>合格标准</w:t>
            </w:r>
          </w:p>
        </w:tc>
        <w:tc>
          <w:tcPr>
            <w:tcW w:type="dxa" w:w="1134"/>
            <w:shd w:fill="003366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color w:val="003366"/>
                <w:sz w:val="18"/>
              </w:rPr>
              <w:t>结果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2.1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电机运转正常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空转测试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无异响、无异常振动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□是 □否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2.2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电调响应正常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油门测试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响应灵敏、无延迟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□是 □否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2.3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电池电压正常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电压表测量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单体电压差&lt;0.1V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□是 □否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2.4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电池温度正常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温度检测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温度&lt;45℃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□是 □否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2.5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续航能力达标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历史记录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不低于标称 80%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□是 □否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2.6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动力冗余正常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系统自检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多旋翼电机冗余可用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□是 □否</w:t>
            </w:r>
          </w:p>
        </w:tc>
      </w:tr>
    </w:tbl>
    <w:p/>
    <w:p>
      <w:pPr>
        <w:spacing w:line="360" w:lineRule="exact"/>
      </w:pPr>
      <w:r>
        <w:rPr>
          <w:rFonts w:ascii="宋体" w:hAnsi="宋体" w:eastAsia="宋体"/>
          <w:b w:val="0"/>
          <w:color w:val="000000"/>
          <w:sz w:val="21"/>
        </w:rPr>
        <w:t>三、飞控系统可靠性（10 分，每项 2 分）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567"/>
            <w:shd w:fill="003366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color w:val="003366"/>
                <w:sz w:val="18"/>
              </w:rPr>
              <w:t>序号</w:t>
            </w:r>
          </w:p>
        </w:tc>
        <w:tc>
          <w:tcPr>
            <w:tcW w:type="dxa" w:w="2268"/>
            <w:shd w:fill="003366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color w:val="003366"/>
                <w:sz w:val="18"/>
              </w:rPr>
              <w:t>检查项</w:t>
            </w:r>
          </w:p>
        </w:tc>
        <w:tc>
          <w:tcPr>
            <w:tcW w:type="dxa" w:w="1417"/>
            <w:shd w:fill="003366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color w:val="003366"/>
                <w:sz w:val="18"/>
              </w:rPr>
              <w:t>检查方法</w:t>
            </w:r>
          </w:p>
        </w:tc>
        <w:tc>
          <w:tcPr>
            <w:tcW w:type="dxa" w:w="2268"/>
            <w:shd w:fill="003366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color w:val="003366"/>
                <w:sz w:val="18"/>
              </w:rPr>
              <w:t>合格标准</w:t>
            </w:r>
          </w:p>
        </w:tc>
        <w:tc>
          <w:tcPr>
            <w:tcW w:type="dxa" w:w="1134"/>
            <w:shd w:fill="003366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color w:val="003366"/>
                <w:sz w:val="18"/>
              </w:rPr>
              <w:t>结果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3.1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GPS 锁星正常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系统显示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锁星数≥6 颗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□是 □否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3.2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指南针校准正常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系统自检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无干扰警告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□是 □否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3.3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IMU 状态正常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系统自检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无故障代码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□是 □否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3.4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返航功能正常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模拟测试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返航点设置正确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□是 □否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3.5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避障系统正常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系统自检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传感器工作正常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□是 □否</w:t>
            </w:r>
          </w:p>
        </w:tc>
      </w:tr>
    </w:tbl>
    <w:p/>
    <w:p>
      <w:pPr>
        <w:spacing w:line="360" w:lineRule="exact"/>
      </w:pPr>
      <w:r>
        <w:rPr>
          <w:rFonts w:ascii="宋体" w:hAnsi="宋体" w:eastAsia="宋体"/>
          <w:b w:val="0"/>
          <w:color w:val="000000"/>
          <w:sz w:val="21"/>
        </w:rPr>
        <w:t>四、电池安全性能（10 分，每项 2 分）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567"/>
            <w:shd w:fill="003366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color w:val="003366"/>
                <w:sz w:val="18"/>
              </w:rPr>
              <w:t>序号</w:t>
            </w:r>
          </w:p>
        </w:tc>
        <w:tc>
          <w:tcPr>
            <w:tcW w:type="dxa" w:w="2268"/>
            <w:shd w:fill="003366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color w:val="003366"/>
                <w:sz w:val="18"/>
              </w:rPr>
              <w:t>检查项</w:t>
            </w:r>
          </w:p>
        </w:tc>
        <w:tc>
          <w:tcPr>
            <w:tcW w:type="dxa" w:w="1417"/>
            <w:shd w:fill="003366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color w:val="003366"/>
                <w:sz w:val="18"/>
              </w:rPr>
              <w:t>检查方法</w:t>
            </w:r>
          </w:p>
        </w:tc>
        <w:tc>
          <w:tcPr>
            <w:tcW w:type="dxa" w:w="2268"/>
            <w:shd w:fill="003366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color w:val="003366"/>
                <w:sz w:val="18"/>
              </w:rPr>
              <w:t>合格标准</w:t>
            </w:r>
          </w:p>
        </w:tc>
        <w:tc>
          <w:tcPr>
            <w:tcW w:type="dxa" w:w="1134"/>
            <w:shd w:fill="003366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color w:val="003366"/>
                <w:sz w:val="18"/>
              </w:rPr>
              <w:t>结果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4.1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电池外观正常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目视检查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无鼓包、无漏液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□是 □否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4.2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充电接口正常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目视 + 测试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无烧蚀、接触良好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□是 □否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4.3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电池管理系统正常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系统显示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BMS 无故障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□是 □否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4.4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过放保护正常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系统自检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低压保护功能可用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□是 □否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4.5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电池固定可靠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手动检查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锁扣正常、无松动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□是 □否</w:t>
            </w:r>
          </w:p>
        </w:tc>
      </w:tr>
    </w:tbl>
    <w:p/>
    <w:p>
      <w:pPr>
        <w:spacing w:line="360" w:lineRule="exact"/>
      </w:pPr>
      <w:r>
        <w:rPr>
          <w:rFonts w:ascii="宋体" w:hAnsi="宋体" w:eastAsia="宋体"/>
          <w:b w:val="0"/>
          <w:color w:val="000000"/>
          <w:sz w:val="21"/>
        </w:rPr>
        <w:t>五、通信链路安全性（10 分，每项 2 分）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567"/>
            <w:shd w:fill="003366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color w:val="003366"/>
                <w:sz w:val="18"/>
              </w:rPr>
              <w:t>序号</w:t>
            </w:r>
          </w:p>
        </w:tc>
        <w:tc>
          <w:tcPr>
            <w:tcW w:type="dxa" w:w="2268"/>
            <w:shd w:fill="003366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color w:val="003366"/>
                <w:sz w:val="18"/>
              </w:rPr>
              <w:t>检查项</w:t>
            </w:r>
          </w:p>
        </w:tc>
        <w:tc>
          <w:tcPr>
            <w:tcW w:type="dxa" w:w="1417"/>
            <w:shd w:fill="003366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color w:val="003366"/>
                <w:sz w:val="18"/>
              </w:rPr>
              <w:t>检查方法</w:t>
            </w:r>
          </w:p>
        </w:tc>
        <w:tc>
          <w:tcPr>
            <w:tcW w:type="dxa" w:w="2268"/>
            <w:shd w:fill="003366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color w:val="003366"/>
                <w:sz w:val="18"/>
              </w:rPr>
              <w:t>合格标准</w:t>
            </w:r>
          </w:p>
        </w:tc>
        <w:tc>
          <w:tcPr>
            <w:tcW w:type="dxa" w:w="1134"/>
            <w:shd w:fill="003366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color w:val="003366"/>
                <w:sz w:val="18"/>
              </w:rPr>
              <w:t>结果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5.1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遥控链路正常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距离测试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控制距离达标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□是 □否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5.2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图传链路正常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图像检查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图像清晰、无卡顿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□是 □否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5.3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失联保护正常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模拟测试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自动返航功能可用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□是 □否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5.4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信号干扰检测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系统显示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无强干扰警告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□是 □否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5.5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备用链路可用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切换测试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备用频道可切换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□是 □否</w:t>
            </w:r>
          </w:p>
        </w:tc>
      </w:tr>
    </w:tbl>
    <w:p/>
    <w:p>
      <w:pPr>
        <w:spacing w:line="360" w:lineRule="exact"/>
      </w:pPr>
      <w:r>
        <w:rPr>
          <w:rFonts w:ascii="宋体" w:hAnsi="宋体" w:eastAsia="宋体"/>
          <w:b w:val="0"/>
          <w:color w:val="000000"/>
          <w:sz w:val="21"/>
        </w:rPr>
        <w:t>六、城市场景附加项（10 分，每项约 1.67 分）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567"/>
            <w:shd w:fill="003366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color w:val="003366"/>
                <w:sz w:val="18"/>
              </w:rPr>
              <w:t>序号</w:t>
            </w:r>
          </w:p>
        </w:tc>
        <w:tc>
          <w:tcPr>
            <w:tcW w:type="dxa" w:w="2268"/>
            <w:shd w:fill="003366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color w:val="003366"/>
                <w:sz w:val="18"/>
              </w:rPr>
              <w:t>检查项</w:t>
            </w:r>
          </w:p>
        </w:tc>
        <w:tc>
          <w:tcPr>
            <w:tcW w:type="dxa" w:w="1417"/>
            <w:shd w:fill="003366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color w:val="003366"/>
                <w:sz w:val="18"/>
              </w:rPr>
              <w:t>检查方法</w:t>
            </w:r>
          </w:p>
        </w:tc>
        <w:tc>
          <w:tcPr>
            <w:tcW w:type="dxa" w:w="2268"/>
            <w:shd w:fill="003366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color w:val="003366"/>
                <w:sz w:val="18"/>
              </w:rPr>
              <w:t>合格标准</w:t>
            </w:r>
          </w:p>
        </w:tc>
        <w:tc>
          <w:tcPr>
            <w:tcW w:type="dxa" w:w="1134"/>
            <w:shd w:fill="003366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color w:val="003366"/>
                <w:sz w:val="18"/>
              </w:rPr>
              <w:t>结果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6.1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货物固定装置可靠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手动检查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锁扣正常、无松动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□是 □否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6.2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隐私保护模式开启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系统设置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人脸/车牌模糊开启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□是 □否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6.3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噪音水平达标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噪音计测量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&lt;65dB（距地面 30 米）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□是 □否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6.4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应急迫降点预设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航线规划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至少 3 个备降点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□是 □否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6.5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电子围栏生效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系统检查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禁飞区自动规避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□是 □否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6.6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第三方责任险有效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文件检查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保险在有效期内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□是 □否</w:t>
            </w:r>
          </w:p>
        </w:tc>
      </w:tr>
    </w:tbl>
    <w:p/>
    <w:p>
      <w:pPr>
        <w:spacing w:line="360" w:lineRule="exact"/>
      </w:pPr>
      <w:r>
        <w:rPr>
          <w:rFonts w:ascii="宋体" w:hAnsi="宋体" w:eastAsia="宋体"/>
          <w:b w:val="0"/>
          <w:color w:val="000000"/>
          <w:sz w:val="21"/>
        </w:rPr>
        <w:t>A.2 评分汇总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268"/>
            <w:shd w:fill="003366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color w:val="003366"/>
                <w:sz w:val="18"/>
              </w:rPr>
              <w:t>检查大类</w:t>
            </w:r>
          </w:p>
        </w:tc>
        <w:tc>
          <w:tcPr>
            <w:tcW w:type="dxa" w:w="1134"/>
            <w:shd w:fill="003366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color w:val="003366"/>
                <w:sz w:val="18"/>
              </w:rPr>
              <w:t>得分</w:t>
            </w:r>
          </w:p>
        </w:tc>
        <w:tc>
          <w:tcPr>
            <w:tcW w:type="dxa" w:w="850"/>
            <w:shd w:fill="003366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color w:val="003366"/>
                <w:sz w:val="18"/>
              </w:rPr>
              <w:t>满分</w:t>
            </w:r>
          </w:p>
        </w:tc>
        <w:tc>
          <w:tcPr>
            <w:tcW w:type="dxa" w:w="1134"/>
            <w:shd w:fill="003366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color w:val="003366"/>
                <w:sz w:val="18"/>
              </w:rPr>
              <w:t>得分率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一、机身结构完整性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___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10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___%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二、动力系统稳定性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___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10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___%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三、飞控系统可靠性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___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10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___%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四、电池安全性能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___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10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___%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五、通信链路安全性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___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10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___%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六、城市场景附加项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___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10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___%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总分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___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60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___%</w:t>
            </w:r>
          </w:p>
        </w:tc>
      </w:tr>
    </w:tbl>
    <w:p/>
    <w:p>
      <w:pPr>
        <w:spacing w:line="360" w:lineRule="exact"/>
      </w:pPr>
      <w:r>
        <w:rPr>
          <w:rFonts w:ascii="宋体" w:hAnsi="宋体" w:eastAsia="宋体"/>
          <w:b w:val="0"/>
          <w:color w:val="000000"/>
          <w:sz w:val="21"/>
        </w:rPr>
        <w:t>A.3 适航等级判定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850"/>
            <w:shd w:fill="003366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color w:val="003366"/>
                <w:sz w:val="18"/>
              </w:rPr>
              <w:t>等级</w:t>
            </w:r>
          </w:p>
        </w:tc>
        <w:tc>
          <w:tcPr>
            <w:tcW w:type="dxa" w:w="1701"/>
            <w:shd w:fill="003366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color w:val="003366"/>
                <w:sz w:val="18"/>
              </w:rPr>
              <w:t>分数要求</w:t>
            </w:r>
          </w:p>
        </w:tc>
        <w:tc>
          <w:tcPr>
            <w:tcW w:type="dxa" w:w="1701"/>
            <w:shd w:fill="003366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color w:val="003366"/>
                <w:sz w:val="18"/>
              </w:rPr>
              <w:t>判定结果</w:t>
            </w:r>
          </w:p>
        </w:tc>
        <w:tc>
          <w:tcPr>
            <w:tcW w:type="dxa" w:w="2835"/>
            <w:shd w:fill="003366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color w:val="003366"/>
                <w:sz w:val="18"/>
              </w:rPr>
              <w:t>适用场景</w:t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A 级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≥54 分（≥90%）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□合格 □不合格</w:t>
            </w:r>
          </w:p>
        </w:tc>
        <w:tc>
          <w:tcPr>
            <w:tcW w:type="dxa" w:w="2835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城市人口密集区、超视距飞行</w:t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B 级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≥48 分（≥80%）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□合格 □不合格</w:t>
            </w:r>
          </w:p>
        </w:tc>
        <w:tc>
          <w:tcPr>
            <w:tcW w:type="dxa" w:w="2835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郊区、视距内飞行</w:t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C 级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≥36 分（≥60%）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□合格 □不合格</w:t>
            </w:r>
          </w:p>
        </w:tc>
        <w:tc>
          <w:tcPr>
            <w:tcW w:type="dxa" w:w="2835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封闭场地、测试飞行</w:t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不合格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&lt;36 分（&lt;60%）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□合格 □不合格</w:t>
            </w:r>
          </w:p>
        </w:tc>
        <w:tc>
          <w:tcPr>
            <w:tcW w:type="dxa" w:w="2835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禁止飞行</w:t>
            </w:r>
          </w:p>
        </w:tc>
      </w:tr>
    </w:tbl>
    <w:p/>
    <w:p>
      <w:pPr>
        <w:spacing w:line="360" w:lineRule="exact"/>
      </w:pPr>
      <w:r>
        <w:rPr>
          <w:rFonts w:ascii="宋体" w:hAnsi="宋体" w:eastAsia="宋体"/>
          <w:b w:val="0"/>
          <w:color w:val="000000"/>
          <w:sz w:val="21"/>
        </w:rPr>
        <w:t>最终适航等级：__________</w:t>
      </w:r>
    </w:p>
    <w:p/>
    <w:p>
      <w:pPr>
        <w:spacing w:line="360" w:lineRule="exact"/>
      </w:pPr>
      <w:r>
        <w:rPr>
          <w:rFonts w:ascii="宋体" w:hAnsi="宋体" w:eastAsia="宋体"/>
          <w:b w:val="0"/>
          <w:color w:val="000000"/>
          <w:sz w:val="21"/>
        </w:rPr>
        <w:t>A.4 异常情况记录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567"/>
            <w:shd w:fill="003366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color w:val="003366"/>
                <w:sz w:val="18"/>
              </w:rPr>
              <w:t>序号</w:t>
            </w:r>
          </w:p>
        </w:tc>
        <w:tc>
          <w:tcPr>
            <w:tcW w:type="dxa" w:w="2835"/>
            <w:shd w:fill="003366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color w:val="003366"/>
                <w:sz w:val="18"/>
              </w:rPr>
              <w:t>异常描述</w:t>
            </w:r>
          </w:p>
        </w:tc>
        <w:tc>
          <w:tcPr>
            <w:tcW w:type="dxa" w:w="2268"/>
            <w:shd w:fill="003366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color w:val="003366"/>
                <w:sz w:val="18"/>
              </w:rPr>
              <w:t>处理措施</w:t>
            </w:r>
          </w:p>
        </w:tc>
        <w:tc>
          <w:tcPr>
            <w:tcW w:type="dxa" w:w="1417"/>
            <w:shd w:fill="003366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color w:val="003366"/>
                <w:sz w:val="18"/>
              </w:rPr>
              <w:t>处理人</w:t>
            </w:r>
          </w:p>
        </w:tc>
        <w:tc>
          <w:tcPr>
            <w:tcW w:type="dxa" w:w="1417"/>
            <w:shd w:fill="003366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color w:val="003366"/>
                <w:sz w:val="18"/>
              </w:rPr>
              <w:t>处理日期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1</w:t>
            </w:r>
          </w:p>
        </w:tc>
        <w:tc>
          <w:tcPr>
            <w:tcW w:type="dxa" w:w="2835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2</w:t>
            </w:r>
          </w:p>
        </w:tc>
        <w:tc>
          <w:tcPr>
            <w:tcW w:type="dxa" w:w="2835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3</w:t>
            </w:r>
          </w:p>
        </w:tc>
        <w:tc>
          <w:tcPr>
            <w:tcW w:type="dxa" w:w="2835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</w:r>
          </w:p>
        </w:tc>
      </w:tr>
    </w:tbl>
    <w:p/>
    <w:p>
      <w:pPr>
        <w:spacing w:line="360" w:lineRule="exact"/>
      </w:pPr>
      <w:r>
        <w:rPr>
          <w:rFonts w:ascii="宋体" w:hAnsi="宋体" w:eastAsia="宋体"/>
          <w:b w:val="0"/>
          <w:color w:val="000000"/>
          <w:sz w:val="21"/>
        </w:rPr>
        <w:t>A.5 签字确认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134"/>
            <w:shd w:fill="003366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color w:val="003366"/>
                <w:sz w:val="18"/>
              </w:rPr>
              <w:t>角色</w:t>
            </w:r>
          </w:p>
        </w:tc>
        <w:tc>
          <w:tcPr>
            <w:tcW w:type="dxa" w:w="1701"/>
            <w:shd w:fill="003366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color w:val="003366"/>
                <w:sz w:val="18"/>
              </w:rPr>
              <w:t>姓名</w:t>
            </w:r>
          </w:p>
        </w:tc>
        <w:tc>
          <w:tcPr>
            <w:tcW w:type="dxa" w:w="2268"/>
            <w:shd w:fill="003366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color w:val="003366"/>
                <w:sz w:val="18"/>
              </w:rPr>
              <w:t>签字</w:t>
            </w:r>
          </w:p>
        </w:tc>
        <w:tc>
          <w:tcPr>
            <w:tcW w:type="dxa" w:w="1701"/>
            <w:shd w:fill="003366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color w:val="003366"/>
                <w:sz w:val="18"/>
              </w:rPr>
              <w:t>日期</w:t>
            </w:r>
          </w:p>
        </w:tc>
      </w:tr>
      <w:tr>
        <w:tc>
          <w:tcPr>
            <w:tcW w:type="dxa" w:w="1134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检查员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</w:r>
          </w:p>
        </w:tc>
      </w:tr>
      <w:tr>
        <w:tc>
          <w:tcPr>
            <w:tcW w:type="dxa" w:w="1134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复核员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</w:r>
          </w:p>
        </w:tc>
      </w:tr>
      <w:tr>
        <w:tc>
          <w:tcPr>
            <w:tcW w:type="dxa" w:w="1134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负责人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</w:r>
          </w:p>
        </w:tc>
      </w:tr>
    </w:tbl>
    <w:p/>
    <w:p>
      <w:pPr>
        <w:spacing w:line="360" w:lineRule="exact"/>
      </w:pPr>
      <w:r>
        <w:rPr>
          <w:rFonts w:ascii="宋体" w:hAnsi="宋体" w:eastAsia="宋体"/>
          <w:b w:val="0"/>
          <w:color w:val="000000"/>
          <w:sz w:val="21"/>
        </w:rPr>
        <w:t>A.6 一票否决项检查</w:t>
      </w:r>
    </w:p>
    <w:p>
      <w:r>
        <w:rPr>
          <w:rFonts w:ascii="宋体" w:hAnsi="宋体" w:eastAsia="宋体"/>
          <w:b w:val="0"/>
          <w:color w:val="000000"/>
          <w:sz w:val="21"/>
        </w:rPr>
        <w:t>□ 机身结构无裂纹或变形</w:t>
      </w:r>
    </w:p>
    <w:p>
      <w:r>
        <w:rPr>
          <w:rFonts w:ascii="宋体" w:hAnsi="宋体" w:eastAsia="宋体"/>
          <w:b w:val="0"/>
          <w:color w:val="000000"/>
          <w:sz w:val="21"/>
        </w:rPr>
        <w:t>□ 电池无鼓包或漏液</w:t>
      </w:r>
    </w:p>
    <w:p>
      <w:r>
        <w:rPr>
          <w:rFonts w:ascii="宋体" w:hAnsi="宋体" w:eastAsia="宋体"/>
          <w:b w:val="0"/>
          <w:color w:val="000000"/>
          <w:sz w:val="21"/>
        </w:rPr>
        <w:t>□ 通信链路失联保护功能正常</w:t>
      </w:r>
    </w:p>
    <w:p>
      <w:r>
        <w:rPr>
          <w:rFonts w:ascii="宋体" w:hAnsi="宋体" w:eastAsia="宋体"/>
          <w:b w:val="0"/>
          <w:color w:val="000000"/>
          <w:sz w:val="21"/>
        </w:rPr>
        <w:t>□ GPS 锁星数≥6 颗</w:t>
      </w:r>
    </w:p>
    <w:p>
      <w:r>
        <w:rPr>
          <w:rFonts w:ascii="宋体" w:hAnsi="宋体" w:eastAsia="宋体"/>
          <w:b/>
          <w:color w:val="000000"/>
          <w:sz w:val="21"/>
        </w:rPr>
        <w:t>一票否决项检查结果：□全部通过 □有未通过项（立即终止检查）</w:t>
      </w:r>
    </w:p>
    <w:p>
      <w:r>
        <w:br w:type="page"/>
      </w:r>
    </w:p>
    <w:p>
      <w:pPr>
        <w:pStyle w:val="Heading1"/>
        <w:jc w:val="center"/>
      </w:pPr>
      <w:r>
        <w:rPr>
          <w:rFonts w:ascii="宋体" w:hAnsi="宋体" w:eastAsia="宋体"/>
          <w:b/>
          <w:color w:val="003366"/>
          <w:sz w:val="32"/>
        </w:rPr>
        <w:t>附录 B：法规条款映射表</w:t>
      </w:r>
    </w:p>
    <w:p>
      <w:pPr>
        <w:spacing w:line="360" w:lineRule="exact"/>
      </w:pPr>
      <w:r>
        <w:rPr>
          <w:rFonts w:ascii="宋体" w:hAnsi="宋体" w:eastAsia="宋体"/>
          <w:b w:val="0"/>
          <w:color w:val="000000"/>
          <w:sz w:val="21"/>
        </w:rPr>
        <w:t>本表将检查清单中的每项检查与具体法规要求进行映射，确保检查内容的合规性和可追溯性。</w:t>
      </w:r>
    </w:p>
    <w:p>
      <w:pPr>
        <w:spacing w:line="360" w:lineRule="exact"/>
      </w:pPr>
      <w:r>
        <w:rPr>
          <w:rFonts w:ascii="宋体" w:hAnsi="宋体" w:eastAsia="宋体"/>
          <w:b w:val="0"/>
          <w:color w:val="000000"/>
          <w:sz w:val="21"/>
        </w:rPr>
        <w:t>注：部分规章（如 CCAR-92）仍处于征求意见阶段，条款编号以最终发布版本为准。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680"/>
            <w:shd w:fill="003366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color w:val="003366"/>
                <w:sz w:val="18"/>
              </w:rPr>
              <w:t>检查项</w:t>
            </w:r>
          </w:p>
        </w:tc>
        <w:tc>
          <w:tcPr>
            <w:tcW w:type="dxa" w:w="1984"/>
            <w:shd w:fill="003366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color w:val="003366"/>
                <w:sz w:val="18"/>
              </w:rPr>
              <w:t>检查内容</w:t>
            </w:r>
          </w:p>
        </w:tc>
        <w:tc>
          <w:tcPr>
            <w:tcW w:type="dxa" w:w="1701"/>
            <w:shd w:fill="003366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color w:val="003366"/>
                <w:sz w:val="18"/>
              </w:rPr>
              <w:t>法规依据</w:t>
            </w:r>
          </w:p>
        </w:tc>
        <w:tc>
          <w:tcPr>
            <w:tcW w:type="dxa" w:w="1417"/>
            <w:shd w:fill="003366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color w:val="003366"/>
                <w:sz w:val="18"/>
              </w:rPr>
              <w:t>要求类别</w:t>
            </w:r>
          </w:p>
        </w:tc>
        <w:tc>
          <w:tcPr>
            <w:tcW w:type="dxa" w:w="2835"/>
            <w:shd w:fill="003366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color w:val="003366"/>
                <w:sz w:val="18"/>
              </w:rPr>
              <w:t>要求摘要</w:t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1.1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机架无裂纹、变形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AC-21-2017-23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结构完整性要求</w:t>
            </w:r>
          </w:p>
        </w:tc>
        <w:tc>
          <w:tcPr>
            <w:tcW w:type="dxa" w:w="2835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无人机结构应无可见损伤</w:t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1.2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螺丝/连接件紧固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AC-21-2017-23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结构完整性要求</w:t>
            </w:r>
          </w:p>
        </w:tc>
        <w:tc>
          <w:tcPr>
            <w:tcW w:type="dxa" w:w="2835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连接件应紧固可靠</w:t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1.3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螺旋桨无损伤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AC-21-AA-2022-40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推进系统安全</w:t>
            </w:r>
          </w:p>
        </w:tc>
        <w:tc>
          <w:tcPr>
            <w:tcW w:type="dxa" w:w="2835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推进系统部件应完好</w:t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1.4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起落架完好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AC-21-2017-23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起落装置要求</w:t>
            </w:r>
          </w:p>
        </w:tc>
        <w:tc>
          <w:tcPr>
            <w:tcW w:type="dxa" w:w="2835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起落装置应功能正常</w:t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1.5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货物挂载装置可靠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CCAR-92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载荷安全（征求意见稿）</w:t>
            </w:r>
          </w:p>
        </w:tc>
        <w:tc>
          <w:tcPr>
            <w:tcW w:type="dxa" w:w="2835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载荷固定装置应可靠</w:t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2.1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电机运转正常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AC-21-2017-23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动力系统要求</w:t>
            </w:r>
          </w:p>
        </w:tc>
        <w:tc>
          <w:tcPr>
            <w:tcW w:type="dxa" w:w="2835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动力系统应运转正常</w:t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2.2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电调响应正常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AC-21-2017-23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控制系统要求</w:t>
            </w:r>
          </w:p>
        </w:tc>
        <w:tc>
          <w:tcPr>
            <w:tcW w:type="dxa" w:w="2835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控制系统响应应灵敏</w:t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2.3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电池电压正常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AC-21-AA-2022-40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电源系统安全</w:t>
            </w:r>
          </w:p>
        </w:tc>
        <w:tc>
          <w:tcPr>
            <w:tcW w:type="dxa" w:w="2835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电池电压应在正常范围</w:t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2.4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电池温度正常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AC-21-AA-2022-40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电源系统安全</w:t>
            </w:r>
          </w:p>
        </w:tc>
        <w:tc>
          <w:tcPr>
            <w:tcW w:type="dxa" w:w="2835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电池温度应低于限值</w:t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2.5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续航能力达标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AC-21-2017-23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性能要求</w:t>
            </w:r>
          </w:p>
        </w:tc>
        <w:tc>
          <w:tcPr>
            <w:tcW w:type="dxa" w:w="2835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续航能力应满足任务要求</w:t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2.6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动力冗余正常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AC-21-AA-2022-40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安全性分析</w:t>
            </w:r>
          </w:p>
        </w:tc>
        <w:tc>
          <w:tcPr>
            <w:tcW w:type="dxa" w:w="2835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多旋翼应具备动力冗余</w:t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3.1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GPS 锁星正常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CCAR-92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导航系统（征求意见稿）</w:t>
            </w:r>
          </w:p>
        </w:tc>
        <w:tc>
          <w:tcPr>
            <w:tcW w:type="dxa" w:w="2835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导航系统应工作正常</w:t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3.2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指南针校准正常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AC-21-2017-23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导航设备要求</w:t>
            </w:r>
          </w:p>
        </w:tc>
        <w:tc>
          <w:tcPr>
            <w:tcW w:type="dxa" w:w="2835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磁罗盘应校准准确</w:t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3.3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IMU 状态正常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AC-21-2017-23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飞行控制系统</w:t>
            </w:r>
          </w:p>
        </w:tc>
        <w:tc>
          <w:tcPr>
            <w:tcW w:type="dxa" w:w="2835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惯性测量单元应正常</w:t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3.4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返航功能正常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CCAR-92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应急程序（征求意见稿）</w:t>
            </w:r>
          </w:p>
        </w:tc>
        <w:tc>
          <w:tcPr>
            <w:tcW w:type="dxa" w:w="2835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应急返航功能应可用</w:t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3.5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避障系统正常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AC-21-AA-2022-40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感知与避障</w:t>
            </w:r>
          </w:p>
        </w:tc>
        <w:tc>
          <w:tcPr>
            <w:tcW w:type="dxa" w:w="2835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避障系统应功能正常</w:t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4.1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电池外观正常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AC-21-AA-2022-40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电池安全</w:t>
            </w:r>
          </w:p>
        </w:tc>
        <w:tc>
          <w:tcPr>
            <w:tcW w:type="dxa" w:w="2835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电池外观应无损伤</w:t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4.2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充电接口正常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AC-21-AA-2022-40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电池安全</w:t>
            </w:r>
          </w:p>
        </w:tc>
        <w:tc>
          <w:tcPr>
            <w:tcW w:type="dxa" w:w="2835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充电接口应接触良好</w:t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4.3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电池管理系统正常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AC-21-AA-2022-40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电池安全</w:t>
            </w:r>
          </w:p>
        </w:tc>
        <w:tc>
          <w:tcPr>
            <w:tcW w:type="dxa" w:w="2835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BMS 应功能正常</w:t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4.4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过放保护正常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AC-21-AA-2022-40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电池安全</w:t>
            </w:r>
          </w:p>
        </w:tc>
        <w:tc>
          <w:tcPr>
            <w:tcW w:type="dxa" w:w="2835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过放保护应有效</w:t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4.5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电池固定可靠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AC-21-2017-23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安装要求</w:t>
            </w:r>
          </w:p>
        </w:tc>
        <w:tc>
          <w:tcPr>
            <w:tcW w:type="dxa" w:w="2835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电池安装应牢固</w:t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5.1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遥控链路正常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CCAR-92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通信链路（征求意见稿）</w:t>
            </w:r>
          </w:p>
        </w:tc>
        <w:tc>
          <w:tcPr>
            <w:tcW w:type="dxa" w:w="2835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遥控链路应可靠</w:t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5.2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图传链路正常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CCAR-92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通信链路（征求意见稿）</w:t>
            </w:r>
          </w:p>
        </w:tc>
        <w:tc>
          <w:tcPr>
            <w:tcW w:type="dxa" w:w="2835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图像传输应清晰</w:t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5.3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失联保护正常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CCAR-92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应急程序（征求意见稿）</w:t>
            </w:r>
          </w:p>
        </w:tc>
        <w:tc>
          <w:tcPr>
            <w:tcW w:type="dxa" w:w="2835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失联保护应有效</w:t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5.4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信号干扰检测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AC-21-AA-2022-40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通信安全</w:t>
            </w:r>
          </w:p>
        </w:tc>
        <w:tc>
          <w:tcPr>
            <w:tcW w:type="dxa" w:w="2835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应能检测信号干扰</w:t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5.5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备用链路可用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CCAR-92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通信链路（征求意见稿）</w:t>
            </w:r>
          </w:p>
        </w:tc>
        <w:tc>
          <w:tcPr>
            <w:tcW w:type="dxa" w:w="2835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备用通信应可用</w:t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6.1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货物固定装置可靠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CCAR-92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载荷安全（征求意见稿）</w:t>
            </w:r>
          </w:p>
        </w:tc>
        <w:tc>
          <w:tcPr>
            <w:tcW w:type="dxa" w:w="2835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载荷固定应可靠</w:t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6.2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隐私保护模式开启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《个人信息保护法》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个人信息保护</w:t>
            </w:r>
          </w:p>
        </w:tc>
        <w:tc>
          <w:tcPr>
            <w:tcW w:type="dxa" w:w="2835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应保护个人隐私</w:t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6.3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噪音水平达标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GB 3096-2008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声环境质量标准</w:t>
            </w:r>
          </w:p>
        </w:tc>
        <w:tc>
          <w:tcPr>
            <w:tcW w:type="dxa" w:w="2835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噪音应符合标准</w:t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6.4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应急迫降点预设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CCAR-92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应急程序（征求意见稿）</w:t>
            </w:r>
          </w:p>
        </w:tc>
        <w:tc>
          <w:tcPr>
            <w:tcW w:type="dxa" w:w="2835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应预设应急降落点</w:t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6.5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电子围栏生效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《无人驾驶航空器飞行管理暂行条例》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空域管理</w:t>
            </w:r>
          </w:p>
        </w:tc>
        <w:tc>
          <w:tcPr>
            <w:tcW w:type="dxa" w:w="2835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禁飞区应自动规避</w:t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6.6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第三方责任险有效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CCAR-92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责任保险（征求意见稿）</w:t>
            </w:r>
          </w:p>
        </w:tc>
        <w:tc>
          <w:tcPr>
            <w:tcW w:type="dxa" w:w="2835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应投保第三方责任险</w:t>
            </w:r>
          </w:p>
        </w:tc>
      </w:tr>
    </w:tbl>
    <w:p/>
    <w:p>
      <w:pPr>
        <w:spacing w:line="360" w:lineRule="exact"/>
      </w:pPr>
      <w:r>
        <w:rPr>
          <w:rFonts w:ascii="宋体" w:hAnsi="宋体" w:eastAsia="宋体"/>
          <w:b w:val="0"/>
          <w:color w:val="000000"/>
          <w:sz w:val="21"/>
        </w:rPr>
        <w:t>一票否决项法规依据：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268"/>
            <w:shd w:fill="003366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color w:val="003366"/>
                <w:sz w:val="18"/>
              </w:rPr>
              <w:t>一票否决项</w:t>
            </w:r>
          </w:p>
        </w:tc>
        <w:tc>
          <w:tcPr>
            <w:tcW w:type="dxa" w:w="1984"/>
            <w:shd w:fill="003366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color w:val="003366"/>
                <w:sz w:val="18"/>
              </w:rPr>
              <w:t>法规依据</w:t>
            </w:r>
          </w:p>
        </w:tc>
        <w:tc>
          <w:tcPr>
            <w:tcW w:type="dxa" w:w="1701"/>
            <w:shd w:fill="003366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color w:val="003366"/>
                <w:sz w:val="18"/>
              </w:rPr>
              <w:t>要求类别</w:t>
            </w:r>
          </w:p>
        </w:tc>
        <w:tc>
          <w:tcPr>
            <w:tcW w:type="dxa" w:w="2835"/>
            <w:shd w:fill="003366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color w:val="003366"/>
                <w:sz w:val="18"/>
              </w:rPr>
              <w:t>风险说明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机身结构裂纹/变形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AC-21-2017-23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结构完整性</w:t>
            </w:r>
          </w:p>
        </w:tc>
        <w:tc>
          <w:tcPr>
            <w:tcW w:type="dxa" w:w="2835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可能导致空中解体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电池鼓包/漏液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AC-21-AA-2022-40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电池安全</w:t>
            </w:r>
          </w:p>
        </w:tc>
        <w:tc>
          <w:tcPr>
            <w:tcW w:type="dxa" w:w="2835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可能引发起火爆炸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失联保护功能失效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CCAR-92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应急程序（征求意见稿）</w:t>
            </w:r>
          </w:p>
        </w:tc>
        <w:tc>
          <w:tcPr>
            <w:tcW w:type="dxa" w:w="2835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可能导致飞丢撞机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GPS 锁星不足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CCAR-92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导航系统（征求意见稿）</w:t>
            </w:r>
          </w:p>
        </w:tc>
        <w:tc>
          <w:tcPr>
            <w:tcW w:type="dxa" w:w="2835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可能导致定位失效</w:t>
            </w:r>
          </w:p>
        </w:tc>
      </w:tr>
    </w:tbl>
    <w:p>
      <w:r>
        <w:br w:type="page"/>
      </w:r>
    </w:p>
    <w:p>
      <w:pPr>
        <w:pStyle w:val="Heading1"/>
        <w:jc w:val="center"/>
      </w:pPr>
      <w:r>
        <w:rPr>
          <w:rFonts w:ascii="宋体" w:hAnsi="宋体" w:eastAsia="宋体"/>
          <w:b/>
          <w:color w:val="003366"/>
          <w:sz w:val="32"/>
        </w:rPr>
        <w:t>附录 C：参赛队员信息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134"/>
            <w:shd w:fill="003366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color w:val="003366"/>
                <w:sz w:val="18"/>
              </w:rPr>
              <w:t>姓名</w:t>
            </w:r>
          </w:p>
        </w:tc>
        <w:tc>
          <w:tcPr>
            <w:tcW w:type="dxa" w:w="1701"/>
            <w:shd w:fill="003366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color w:val="003366"/>
                <w:sz w:val="18"/>
              </w:rPr>
              <w:t>学号</w:t>
            </w:r>
          </w:p>
        </w:tc>
        <w:tc>
          <w:tcPr>
            <w:tcW w:type="dxa" w:w="1701"/>
            <w:shd w:fill="003366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color w:val="003366"/>
                <w:sz w:val="18"/>
              </w:rPr>
              <w:t>专业</w:t>
            </w:r>
          </w:p>
        </w:tc>
        <w:tc>
          <w:tcPr>
            <w:tcW w:type="dxa" w:w="2268"/>
            <w:shd w:fill="003366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color w:val="003366"/>
                <w:sz w:val="18"/>
              </w:rPr>
              <w:t>分工</w:t>
            </w:r>
          </w:p>
        </w:tc>
        <w:tc>
          <w:tcPr>
            <w:tcW w:type="dxa" w:w="1701"/>
            <w:shd w:fill="003366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color w:val="003366"/>
                <w:sz w:val="18"/>
              </w:rPr>
              <w:t>联系方式</w:t>
            </w:r>
          </w:p>
        </w:tc>
      </w:tr>
      <w:tr>
        <w:tc>
          <w:tcPr>
            <w:tcW w:type="dxa" w:w="1134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GORDON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待填写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待填写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队长，方案设计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待填写</w:t>
            </w:r>
          </w:p>
        </w:tc>
      </w:tr>
      <w:tr>
        <w:tc>
          <w:tcPr>
            <w:tcW w:type="dxa" w:w="1134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队员 2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待填写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待填写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法规调研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待填写</w:t>
            </w:r>
          </w:p>
        </w:tc>
      </w:tr>
      <w:tr>
        <w:tc>
          <w:tcPr>
            <w:tcW w:type="dxa" w:w="1134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队员 3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待填写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待填写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文档排版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待填写</w:t>
            </w:r>
          </w:p>
        </w:tc>
      </w:tr>
    </w:tbl>
    <w:p/>
    <w:p>
      <w:r>
        <w:rPr>
          <w:rFonts w:ascii="宋体" w:hAnsi="宋体" w:eastAsia="宋体"/>
          <w:b w:val="0"/>
          <w:color w:val="000000"/>
          <w:sz w:val="21"/>
        </w:rPr>
        <w:t>指导教师：待填写</w:t>
      </w:r>
    </w:p>
    <w:p>
      <w:r>
        <w:rPr>
          <w:rFonts w:ascii="宋体" w:hAnsi="宋体" w:eastAsia="宋体"/>
          <w:b w:val="0"/>
          <w:color w:val="000000"/>
          <w:sz w:val="21"/>
        </w:rPr>
        <w:t>所在单位：南京航空航天大学 民航学院</w:t>
      </w:r>
    </w:p>
    <w:p>
      <w:r>
        <w:rPr>
          <w:rFonts w:ascii="宋体" w:hAnsi="宋体" w:eastAsia="宋体"/>
          <w:b w:val="0"/>
          <w:color w:val="000000"/>
          <w:sz w:val="21"/>
        </w:rPr>
        <w:t>完成日期：2026 年 4 月 17 日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