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sz w:val="32"/>
        </w:rPr>
        <w:t>面向城市物流无人机的适航合规性检查清单设计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"凤起南航·泰达未来"首届民航创新实践挑战赛 - 赛道 4 参赛作品</w:t>
      </w:r>
    </w:p>
    <w:p/>
    <w:p/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参赛赛道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飞行器适航技术方向（赛题 4）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作品类型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简易无人机适航合规性检查清单设计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参赛学校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南京航空航天大学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参赛队员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GORDON（队长）等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待填写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提交日期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b w:val="0"/>
                <w:sz w:val="21"/>
              </w:rPr>
              <w:t>2026 年 4 月 17 日</w:t>
            </w:r>
          </w:p>
        </w:tc>
      </w:tr>
    </w:tbl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1"/>
        </w:rPr>
        <w:t>队长邮箱：nuaacca_7@163.cn</w:t>
        <w:br/>
        <w:t>南京航空航天大学 民航学院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240"/>
      </w:pPr>
      <w:r>
        <w:t>一、摘要</w:t>
      </w:r>
    </w:p>
    <w:p>
      <w:pPr>
        <w:spacing w:before="240"/>
      </w:pPr>
      <w:r>
        <w:t>二、背景与意义</w:t>
      </w:r>
    </w:p>
    <w:p>
      <w:pPr>
        <w:ind w:left="425"/>
      </w:pPr>
      <w:r>
        <w:t xml:space="preserve">  2.1 行业背景</w:t>
      </w:r>
    </w:p>
    <w:p>
      <w:pPr>
        <w:ind w:left="425"/>
      </w:pPr>
      <w:r>
        <w:t xml:space="preserve">  2.2 设计意义</w:t>
      </w:r>
    </w:p>
    <w:p>
      <w:pPr>
        <w:spacing w:before="240"/>
      </w:pPr>
      <w:r>
        <w:t>三、法规依据</w:t>
      </w:r>
    </w:p>
    <w:p>
      <w:pPr>
        <w:ind w:left="425"/>
      </w:pPr>
      <w:r>
        <w:t xml:space="preserve">  3.1 法规层级结构</w:t>
      </w:r>
    </w:p>
    <w:p>
      <w:pPr>
        <w:ind w:left="425"/>
      </w:pPr>
      <w:r>
        <w:t xml:space="preserve">  3.2 核心条款引用</w:t>
      </w:r>
    </w:p>
    <w:p>
      <w:pPr>
        <w:spacing w:before="240"/>
      </w:pPr>
      <w:r>
        <w:t>四、检查清单设计</w:t>
      </w:r>
    </w:p>
    <w:p>
      <w:pPr>
        <w:ind w:left="425"/>
      </w:pPr>
      <w:r>
        <w:t xml:space="preserve">  4.1 设计原则</w:t>
      </w:r>
    </w:p>
    <w:p>
      <w:pPr>
        <w:ind w:left="425"/>
      </w:pPr>
      <w:r>
        <w:t xml:space="preserve">  4.2 检查大类</w:t>
      </w:r>
    </w:p>
    <w:p>
      <w:pPr>
        <w:spacing w:before="240"/>
      </w:pPr>
      <w:r>
        <w:t>五、检查清单详细内容</w:t>
      </w:r>
    </w:p>
    <w:p>
      <w:pPr>
        <w:ind w:left="425"/>
      </w:pPr>
      <w:r>
        <w:t xml:space="preserve">  5.1 机身结构完整性</w:t>
      </w:r>
    </w:p>
    <w:p>
      <w:pPr>
        <w:ind w:left="425"/>
      </w:pPr>
      <w:r>
        <w:t xml:space="preserve">  5.2 动力系统稳定性</w:t>
      </w:r>
    </w:p>
    <w:p>
      <w:pPr>
        <w:ind w:left="425"/>
      </w:pPr>
      <w:r>
        <w:t xml:space="preserve">  5.3 飞控系统可靠性</w:t>
      </w:r>
    </w:p>
    <w:p>
      <w:pPr>
        <w:ind w:left="425"/>
      </w:pPr>
      <w:r>
        <w:t xml:space="preserve">  5.4 电池安全性能</w:t>
      </w:r>
    </w:p>
    <w:p>
      <w:pPr>
        <w:ind w:left="425"/>
      </w:pPr>
      <w:r>
        <w:t xml:space="preserve">  5.5 通信链路安全性</w:t>
      </w:r>
    </w:p>
    <w:p>
      <w:pPr>
        <w:ind w:left="425"/>
      </w:pPr>
      <w:r>
        <w:t xml:space="preserve">  5.6 城市场景附加项</w:t>
      </w:r>
    </w:p>
    <w:p>
      <w:pPr>
        <w:spacing w:before="240"/>
      </w:pPr>
      <w:r>
        <w:t>六、评分与评级体系</w:t>
      </w:r>
    </w:p>
    <w:p>
      <w:pPr>
        <w:ind w:left="425"/>
      </w:pPr>
      <w:r>
        <w:t xml:space="preserve">  6.1 评分规则</w:t>
      </w:r>
    </w:p>
    <w:p>
      <w:pPr>
        <w:ind w:left="425"/>
      </w:pPr>
      <w:r>
        <w:t xml:space="preserve">  6.2 评级标准</w:t>
      </w:r>
    </w:p>
    <w:p>
      <w:pPr>
        <w:ind w:left="425"/>
      </w:pPr>
      <w:r>
        <w:t xml:space="preserve">  6.3 一票否决项</w:t>
      </w:r>
    </w:p>
    <w:p>
      <w:pPr>
        <w:spacing w:before="240"/>
      </w:pPr>
      <w:r>
        <w:t>七、使用流程</w:t>
      </w:r>
    </w:p>
    <w:p>
      <w:pPr>
        <w:ind w:left="425"/>
      </w:pPr>
      <w:r>
        <w:t xml:space="preserve">  7.1 飞前检查流程</w:t>
      </w:r>
    </w:p>
    <w:p>
      <w:pPr>
        <w:ind w:left="425"/>
      </w:pPr>
      <w:r>
        <w:t xml:space="preserve">  7.2 异常处理建议</w:t>
      </w:r>
    </w:p>
    <w:p>
      <w:pPr>
        <w:spacing w:before="240"/>
      </w:pPr>
      <w:r>
        <w:t>八、创新点说明</w:t>
      </w:r>
    </w:p>
    <w:p>
      <w:pPr>
        <w:ind w:left="425"/>
      </w:pPr>
      <w:r>
        <w:t xml:space="preserve">  8.1 法规条款映射</w:t>
      </w:r>
    </w:p>
    <w:p>
      <w:pPr>
        <w:ind w:left="425"/>
      </w:pPr>
      <w:r>
        <w:t xml:space="preserve">  8.2 城市场景定制</w:t>
      </w:r>
    </w:p>
    <w:p>
      <w:pPr>
        <w:ind w:left="425"/>
      </w:pPr>
      <w:r>
        <w:t xml:space="preserve">  8.3 分级评级体系</w:t>
      </w:r>
    </w:p>
    <w:p>
      <w:pPr>
        <w:spacing w:before="240"/>
      </w:pPr>
      <w:r>
        <w:t>九、可行性分析</w:t>
      </w:r>
    </w:p>
    <w:p>
      <w:pPr>
        <w:spacing w:before="240"/>
      </w:pPr>
      <w:r>
        <w:t>十、结论与展望</w:t>
      </w:r>
    </w:p>
    <w:p>
      <w:pPr>
        <w:spacing w:before="240"/>
      </w:pPr>
      <w:r>
        <w:t>十一、参考文献</w:t>
      </w:r>
    </w:p>
    <w:p>
      <w:pPr>
        <w:spacing w:before="240"/>
      </w:pPr>
      <w:r>
        <w:t>附录 A：法规条款映射表</w:t>
      </w:r>
    </w:p>
    <w:p>
      <w:r>
        <w:br w:type="page"/>
      </w:r>
    </w:p>
    <w:p>
      <w:pPr>
        <w:pStyle w:val="Heading1"/>
      </w:pPr>
      <w:r>
        <w:t>一、摘要</w:t>
      </w:r>
    </w:p>
    <w:p>
      <w:r>
        <w:t>随着低空经济的快速发展，城市物流无人机应用场景日益广泛。然而，当前无人机运营领域缺乏统一、简易的适航检查标准，导致飞行安全隐患频发。本设计基于《民用航空器适航管理条例》（国令第 761 号）、CCAR-21-R4《民用航空产品和零部件合格审定规定》及 CCAR-92《民用无人机运行安全管理规则》等法规框架，设计了一套面向城市物流无人机的适航合规性检查清单。</w:t>
      </w:r>
    </w:p>
    <w:p>
      <w:r>
        <w:t>本清单包含 6 大类 32 项检查内容，采用量化评分方式，将适航状态分为 A/B/C 三级，分别对应不同的运营场景。创新性地引入了法规条款映射机制和城市场景定制检查项，使检查清单既符合法规要求，又具有实际可操作性。</w:t>
      </w:r>
    </w:p>
    <w:p>
      <w:pPr>
        <w:pStyle w:val="IntenseQuote"/>
      </w:pPr>
      <w:r>
        <w:t>关键词：无人机适航；城市物流；检查清单；合规性；CCAR-92</w:t>
      </w:r>
    </w:p>
    <w:p>
      <w:pPr>
        <w:pStyle w:val="Heading1"/>
      </w:pPr>
      <w:r>
        <w:t>二、背景与意义</w:t>
      </w:r>
    </w:p>
    <w:p>
      <w:pPr>
        <w:pStyle w:val="Heading2"/>
      </w:pPr>
      <w:r>
        <w:t>2.1 行业背景</w:t>
      </w:r>
    </w:p>
    <w:p>
      <w:r>
        <w:t>2026 年，中国低空经济进入快速发展期。根据民航局数据，全国注册无人机数量已突破 150 万架，其中物流无人机占比约 15%。泰州医药高新区、船舶制造基地等区域正在试点无人机物流配送服务。</w:t>
      </w:r>
    </w:p>
    <w:p>
      <w:pPr>
        <w:pStyle w:val="ListBullet"/>
      </w:pPr>
      <w:r>
        <w:t>当前存在的主要问题包括：</w:t>
      </w:r>
    </w:p>
    <w:p>
      <w:pPr>
        <w:pStyle w:val="ListBullet"/>
      </w:pPr>
      <w:r>
        <w:t>检查标准不统一：不同运营商采用不同的检查流程</w:t>
      </w:r>
    </w:p>
    <w:p>
      <w:pPr>
        <w:pStyle w:val="ListBullet"/>
      </w:pPr>
      <w:r>
        <w:t>法规落地困难：现有法规条款较为宏观，缺乏具体操作指引</w:t>
      </w:r>
    </w:p>
    <w:p>
      <w:pPr>
        <w:pStyle w:val="ListBullet"/>
      </w:pPr>
      <w:r>
        <w:t>安全意识薄弱：部分运营商为追求效率忽视飞前检查</w:t>
      </w:r>
    </w:p>
    <w:p>
      <w:pPr>
        <w:pStyle w:val="Heading2"/>
      </w:pPr>
      <w:r>
        <w:t>2.2 设计意义</w:t>
      </w:r>
    </w:p>
    <w:p>
      <w:pPr>
        <w:pStyle w:val="ListNumber"/>
      </w:pPr>
      <w:r>
        <w:t>本检查清单的设计意义在于：</w:t>
      </w:r>
    </w:p>
    <w:p>
      <w:pPr>
        <w:pStyle w:val="ListNumber"/>
      </w:pPr>
      <w:r>
        <w:t>标准化：提供统一的检查框架，降低人为疏漏</w:t>
      </w:r>
    </w:p>
    <w:p>
      <w:pPr>
        <w:pStyle w:val="ListNumber"/>
      </w:pPr>
      <w:r>
        <w:t>合规性：每项检查对应具体法规条款，确保合法运营</w:t>
      </w:r>
    </w:p>
    <w:p>
      <w:pPr>
        <w:pStyle w:val="ListNumber"/>
      </w:pPr>
      <w:r>
        <w:t>可操作性：简化专业术语，一线操作员可快速上手</w:t>
      </w:r>
    </w:p>
    <w:p>
      <w:pPr>
        <w:pStyle w:val="ListNumber"/>
      </w:pPr>
      <w:r>
        <w:t>场景适配：针对城市物流特殊需求定制检查项</w:t>
      </w:r>
    </w:p>
    <w:p>
      <w:pPr>
        <w:pStyle w:val="Heading1"/>
      </w:pPr>
      <w:r>
        <w:t>三、法规依据</w:t>
      </w:r>
    </w:p>
    <w:p>
      <w:pPr>
        <w:pStyle w:val="Heading2"/>
      </w:pPr>
      <w:r>
        <w:t>3.1 法规层级结构</w:t>
      </w:r>
    </w:p>
    <w:p>
      <w:r>
        <w:t>本设计依据以下法规框架：</w:t>
      </w:r>
    </w:p>
    <w:p>
      <w:pPr>
        <w:pStyle w:val="ListBullet"/>
      </w:pPr>
      <w:r>
        <w:t>国令第 761 号《民用航空器适航管理条例》（顶层法规）</w:t>
      </w:r>
    </w:p>
    <w:p>
      <w:pPr>
        <w:pStyle w:val="ListBullet"/>
      </w:pPr>
      <w:r>
        <w:t>CCAR-21-R4《民用航空产品和零部件合格审定规定》</w:t>
      </w:r>
    </w:p>
    <w:p>
      <w:pPr>
        <w:pStyle w:val="ListBullet"/>
      </w:pPr>
      <w:r>
        <w:t>AC-21-AA-2026-44《限用类无人机适航标准》</w:t>
      </w:r>
    </w:p>
    <w:p>
      <w:pPr>
        <w:pStyle w:val="ListBullet"/>
      </w:pPr>
      <w:r>
        <w:t>AC-21-AA-2026-45《动力提升航空器适航标准》</w:t>
      </w:r>
    </w:p>
    <w:p>
      <w:pPr>
        <w:pStyle w:val="ListBullet"/>
      </w:pPr>
      <w:r>
        <w:t>CCAR-92《民用无人机运行安全管理规则》</w:t>
      </w:r>
    </w:p>
    <w:p>
      <w:pPr>
        <w:pStyle w:val="ListBullet"/>
      </w:pPr>
      <w:r>
        <w:t>AC-92-AA-2024-01《无人机安全评定指南》</w:t>
      </w:r>
    </w:p>
    <w:p>
      <w:pPr>
        <w:pStyle w:val="Heading2"/>
      </w:pPr>
      <w:r>
        <w:t>3.2 核心条款引用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法规文件</w:t>
            </w:r>
          </w:p>
        </w:tc>
        <w:tc>
          <w:tcPr>
            <w:tcW w:type="dxa" w:w="2880"/>
          </w:tcPr>
          <w:p>
            <w:r>
              <w:t>相关条款</w:t>
            </w:r>
          </w:p>
        </w:tc>
        <w:tc>
          <w:tcPr>
            <w:tcW w:type="dxa" w:w="2880"/>
          </w:tcPr>
          <w:p>
            <w:r>
              <w:t>涉及内容</w:t>
            </w:r>
          </w:p>
        </w:tc>
      </w:tr>
      <w:tr>
        <w:tc>
          <w:tcPr>
            <w:tcW w:type="dxa" w:w="2880"/>
          </w:tcPr>
          <w:p>
            <w:r>
              <w:t>CCAR-21-R4</w:t>
            </w:r>
          </w:p>
        </w:tc>
        <w:tc>
          <w:tcPr>
            <w:tcW w:type="dxa" w:w="2880"/>
          </w:tcPr>
          <w:p>
            <w:r>
              <w:t>第 21.17 条</w:t>
            </w:r>
          </w:p>
        </w:tc>
        <w:tc>
          <w:tcPr>
            <w:tcW w:type="dxa" w:w="2880"/>
          </w:tcPr>
          <w:p>
            <w:r>
              <w:t>适航证类别与限制</w:t>
            </w:r>
          </w:p>
        </w:tc>
      </w:tr>
      <w:tr>
        <w:tc>
          <w:tcPr>
            <w:tcW w:type="dxa" w:w="2880"/>
          </w:tcPr>
          <w:p>
            <w:r>
              <w:t>CCAR-21-R4</w:t>
            </w:r>
          </w:p>
        </w:tc>
        <w:tc>
          <w:tcPr>
            <w:tcW w:type="dxa" w:w="2880"/>
          </w:tcPr>
          <w:p>
            <w:r>
              <w:t>第 21.139 条</w:t>
            </w:r>
          </w:p>
        </w:tc>
        <w:tc>
          <w:tcPr>
            <w:tcW w:type="dxa" w:w="2880"/>
          </w:tcPr>
          <w:p>
            <w:r>
              <w:t>持续适航要求</w:t>
            </w:r>
          </w:p>
        </w:tc>
      </w:tr>
      <w:tr>
        <w:tc>
          <w:tcPr>
            <w:tcW w:type="dxa" w:w="2880"/>
          </w:tcPr>
          <w:p>
            <w:r>
              <w:t>CCAR-92</w:t>
            </w:r>
          </w:p>
        </w:tc>
        <w:tc>
          <w:tcPr>
            <w:tcW w:type="dxa" w:w="2880"/>
          </w:tcPr>
          <w:p>
            <w:r>
              <w:t>第 92.51 条</w:t>
            </w:r>
          </w:p>
        </w:tc>
        <w:tc>
          <w:tcPr>
            <w:tcW w:type="dxa" w:w="2880"/>
          </w:tcPr>
          <w:p>
            <w:r>
              <w:t>无人机运行前检查</w:t>
            </w:r>
          </w:p>
        </w:tc>
      </w:tr>
      <w:tr>
        <w:tc>
          <w:tcPr>
            <w:tcW w:type="dxa" w:w="2880"/>
          </w:tcPr>
          <w:p>
            <w:r>
              <w:t>CCAR-92</w:t>
            </w:r>
          </w:p>
        </w:tc>
        <w:tc>
          <w:tcPr>
            <w:tcW w:type="dxa" w:w="2880"/>
          </w:tcPr>
          <w:p>
            <w:r>
              <w:t>第 92.73 条</w:t>
            </w:r>
          </w:p>
        </w:tc>
        <w:tc>
          <w:tcPr>
            <w:tcW w:type="dxa" w:w="2880"/>
          </w:tcPr>
          <w:p>
            <w:r>
              <w:t>无人机系统维护</w:t>
            </w:r>
          </w:p>
        </w:tc>
      </w:tr>
      <w:tr>
        <w:tc>
          <w:tcPr>
            <w:tcW w:type="dxa" w:w="2880"/>
          </w:tcPr>
          <w:p>
            <w:r>
              <w:t>AC-21-AA-2026-44</w:t>
            </w:r>
          </w:p>
        </w:tc>
        <w:tc>
          <w:tcPr>
            <w:tcW w:type="dxa" w:w="2880"/>
          </w:tcPr>
          <w:p>
            <w:r>
              <w:t>§3.2</w:t>
            </w:r>
          </w:p>
        </w:tc>
        <w:tc>
          <w:tcPr>
            <w:tcW w:type="dxa" w:w="2880"/>
          </w:tcPr>
          <w:p>
            <w:r>
              <w:t>限用类无人机检查要求</w:t>
            </w:r>
          </w:p>
        </w:tc>
      </w:tr>
      <w:tr>
        <w:tc>
          <w:tcPr>
            <w:tcW w:type="dxa" w:w="2880"/>
          </w:tcPr>
          <w:p>
            <w:r>
              <w:t>AC-92-AA-2024-01</w:t>
            </w:r>
          </w:p>
        </w:tc>
        <w:tc>
          <w:tcPr>
            <w:tcW w:type="dxa" w:w="2880"/>
          </w:tcPr>
          <w:p>
            <w:r>
              <w:t>§5.1</w:t>
            </w:r>
          </w:p>
        </w:tc>
        <w:tc>
          <w:tcPr>
            <w:tcW w:type="dxa" w:w="2880"/>
          </w:tcPr>
          <w:p>
            <w:r>
              <w:t>安全评定程序</w:t>
            </w:r>
          </w:p>
        </w:tc>
      </w:tr>
    </w:tbl>
    <w:p>
      <w:pPr>
        <w:pStyle w:val="Heading1"/>
      </w:pPr>
      <w:r>
        <w:t>四、检查清单设计</w:t>
      </w:r>
    </w:p>
    <w:p>
      <w:pPr>
        <w:pStyle w:val="Heading2"/>
      </w:pPr>
      <w:r>
        <w:t>4.1 设计原则</w:t>
      </w:r>
    </w:p>
    <w:p>
      <w:pPr>
        <w:pStyle w:val="ListNumber"/>
      </w:pPr>
      <w:r>
        <w:t>完整性：覆盖无人机系统关键部件</w:t>
      </w:r>
    </w:p>
    <w:p>
      <w:pPr>
        <w:pStyle w:val="ListNumber"/>
      </w:pPr>
      <w:r>
        <w:t>简洁性：每项检查可在 1 分钟内完成</w:t>
      </w:r>
    </w:p>
    <w:p>
      <w:pPr>
        <w:pStyle w:val="ListNumber"/>
      </w:pPr>
      <w:r>
        <w:t>可量化：采用是/否/不适用三档评分</w:t>
      </w:r>
    </w:p>
    <w:p>
      <w:pPr>
        <w:pStyle w:val="ListNumber"/>
      </w:pPr>
      <w:r>
        <w:t>可追溯：每项对应法规条款编号</w:t>
      </w:r>
    </w:p>
    <w:p>
      <w:pPr>
        <w:pStyle w:val="Heading2"/>
      </w:pPr>
      <w:r>
        <w:t>4.2 检查大类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检查大类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  <w:tc>
          <w:tcPr>
            <w:tcW w:type="dxa" w:w="1728"/>
          </w:tcPr>
          <w:p>
            <w:r>
              <w:t>检查项数</w:t>
            </w:r>
          </w:p>
        </w:tc>
        <w:tc>
          <w:tcPr>
            <w:tcW w:type="dxa" w:w="1728"/>
          </w:tcPr>
          <w:p>
            <w:r>
              <w:t>建议检查时间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机身结构完整性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动力系统稳定性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6 项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飞控系统可靠性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电池安全性能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通信链路安全性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5 项</w:t>
            </w:r>
          </w:p>
        </w:tc>
        <w:tc>
          <w:tcPr>
            <w:tcW w:type="dxa" w:w="1728"/>
          </w:tcPr>
          <w:p>
            <w:r>
              <w:t>3 分钟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城市场景附加项</w:t>
            </w:r>
          </w:p>
        </w:tc>
        <w:tc>
          <w:tcPr>
            <w:tcW w:type="dxa" w:w="1728"/>
          </w:tcPr>
          <w:p>
            <w:r>
              <w:t>10 分</w:t>
            </w:r>
          </w:p>
        </w:tc>
        <w:tc>
          <w:tcPr>
            <w:tcW w:type="dxa" w:w="1728"/>
          </w:tcPr>
          <w:p>
            <w:r>
              <w:t>6 项</w:t>
            </w:r>
          </w:p>
        </w:tc>
        <w:tc>
          <w:tcPr>
            <w:tcW w:type="dxa" w:w="1728"/>
          </w:tcPr>
          <w:p>
            <w:r>
              <w:t>4 分钟</w:t>
            </w:r>
          </w:p>
        </w:tc>
      </w:tr>
    </w:tbl>
    <w:p>
      <w:pPr>
        <w:pStyle w:val="Heading1"/>
      </w:pPr>
      <w:r>
        <w:t>五、检查清单详细内容</w:t>
      </w:r>
    </w:p>
    <w:p>
      <w:pPr>
        <w:pStyle w:val="Heading2"/>
      </w:pPr>
      <w:r>
        <w:t>5.1 机身结构完整性（10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1.1</w:t>
            </w:r>
          </w:p>
        </w:tc>
        <w:tc>
          <w:tcPr>
            <w:tcW w:type="dxa" w:w="1728"/>
          </w:tcPr>
          <w:p>
            <w:r>
              <w:t>机架无裂纹、变形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无可见裂纹、无明显变形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螺丝/连接件紧固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无松动、无缺失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1.3</w:t>
            </w:r>
          </w:p>
        </w:tc>
        <w:tc>
          <w:tcPr>
            <w:tcW w:type="dxa" w:w="1728"/>
          </w:tcPr>
          <w:p>
            <w:r>
              <w:t>螺旋桨无损伤</w:t>
            </w:r>
          </w:p>
        </w:tc>
        <w:tc>
          <w:tcPr>
            <w:tcW w:type="dxa" w:w="1728"/>
          </w:tcPr>
          <w:p>
            <w:r>
              <w:t>目视 + 手触</w:t>
            </w:r>
          </w:p>
        </w:tc>
        <w:tc>
          <w:tcPr>
            <w:tcW w:type="dxa" w:w="1728"/>
          </w:tcPr>
          <w:p>
            <w:r>
              <w:t>无裂纹、无缺口、无变形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1.4</w:t>
            </w:r>
          </w:p>
        </w:tc>
        <w:tc>
          <w:tcPr>
            <w:tcW w:type="dxa" w:w="1728"/>
          </w:tcPr>
          <w:p>
            <w:r>
              <w:t>起落架完好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无断裂、弹性正常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货物挂载装置可靠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锁扣正常、无磨损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</w:tbl>
    <w:p>
      <w:r>
        <w:t>法规依据：AC-21-AA-2026-44 §3.2 结构完整性要求</w:t>
      </w:r>
    </w:p>
    <w:p>
      <w:pPr>
        <w:pStyle w:val="Heading2"/>
      </w:pPr>
      <w:r>
        <w:t>5.2 动力系统稳定性（10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2.1</w:t>
            </w:r>
          </w:p>
        </w:tc>
        <w:tc>
          <w:tcPr>
            <w:tcW w:type="dxa" w:w="1728"/>
          </w:tcPr>
          <w:p>
            <w:r>
              <w:t>电机运转正常</w:t>
            </w:r>
          </w:p>
        </w:tc>
        <w:tc>
          <w:tcPr>
            <w:tcW w:type="dxa" w:w="1728"/>
          </w:tcPr>
          <w:p>
            <w:r>
              <w:t>空转测试</w:t>
            </w:r>
          </w:p>
        </w:tc>
        <w:tc>
          <w:tcPr>
            <w:tcW w:type="dxa" w:w="1728"/>
          </w:tcPr>
          <w:p>
            <w:r>
              <w:t>无异响、无异常振动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电调响应正常</w:t>
            </w:r>
          </w:p>
        </w:tc>
        <w:tc>
          <w:tcPr>
            <w:tcW w:type="dxa" w:w="1728"/>
          </w:tcPr>
          <w:p>
            <w:r>
              <w:t>油门测试</w:t>
            </w:r>
          </w:p>
        </w:tc>
        <w:tc>
          <w:tcPr>
            <w:tcW w:type="dxa" w:w="1728"/>
          </w:tcPr>
          <w:p>
            <w:r>
              <w:t>响应灵敏、无延迟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2.3</w:t>
            </w:r>
          </w:p>
        </w:tc>
        <w:tc>
          <w:tcPr>
            <w:tcW w:type="dxa" w:w="1728"/>
          </w:tcPr>
          <w:p>
            <w:r>
              <w:t>电池电压正常</w:t>
            </w:r>
          </w:p>
        </w:tc>
        <w:tc>
          <w:tcPr>
            <w:tcW w:type="dxa" w:w="1728"/>
          </w:tcPr>
          <w:p>
            <w:r>
              <w:t>电压表测量</w:t>
            </w:r>
          </w:p>
        </w:tc>
        <w:tc>
          <w:tcPr>
            <w:tcW w:type="dxa" w:w="1728"/>
          </w:tcPr>
          <w:p>
            <w:r>
              <w:t>单体电压差&lt;0.1V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2.4</w:t>
            </w:r>
          </w:p>
        </w:tc>
        <w:tc>
          <w:tcPr>
            <w:tcW w:type="dxa" w:w="1728"/>
          </w:tcPr>
          <w:p>
            <w:r>
              <w:t>电池温度正常</w:t>
            </w:r>
          </w:p>
        </w:tc>
        <w:tc>
          <w:tcPr>
            <w:tcW w:type="dxa" w:w="1728"/>
          </w:tcPr>
          <w:p>
            <w:r>
              <w:t>温度检测</w:t>
            </w:r>
          </w:p>
        </w:tc>
        <w:tc>
          <w:tcPr>
            <w:tcW w:type="dxa" w:w="1728"/>
          </w:tcPr>
          <w:p>
            <w:r>
              <w:t>温度&lt;45℃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续航能力达标</w:t>
            </w:r>
          </w:p>
        </w:tc>
        <w:tc>
          <w:tcPr>
            <w:tcW w:type="dxa" w:w="1728"/>
          </w:tcPr>
          <w:p>
            <w:r>
              <w:t>历史记录</w:t>
            </w:r>
          </w:p>
        </w:tc>
        <w:tc>
          <w:tcPr>
            <w:tcW w:type="dxa" w:w="1728"/>
          </w:tcPr>
          <w:p>
            <w:r>
              <w:t>不低于标称 80%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2.6</w:t>
            </w:r>
          </w:p>
        </w:tc>
        <w:tc>
          <w:tcPr>
            <w:tcW w:type="dxa" w:w="1728"/>
          </w:tcPr>
          <w:p>
            <w:r>
              <w:t>动力冗余正常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多旋翼电机冗余可用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</w:tbl>
    <w:p>
      <w:r>
        <w:t>法规依据：AC-21-AA-2026-45 §4.3 动力系统安全要求</w:t>
      </w:r>
    </w:p>
    <w:p>
      <w:pPr>
        <w:pStyle w:val="Heading2"/>
      </w:pPr>
      <w:r>
        <w:t>5.3 飞控系统可靠性（10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GPS 锁星正常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锁星数≥6 颗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指南针校准正常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无干扰警告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IMU 状态正常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无故障代码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3.4</w:t>
            </w:r>
          </w:p>
        </w:tc>
        <w:tc>
          <w:tcPr>
            <w:tcW w:type="dxa" w:w="1728"/>
          </w:tcPr>
          <w:p>
            <w:r>
              <w:t>返航功能正常</w:t>
            </w:r>
          </w:p>
        </w:tc>
        <w:tc>
          <w:tcPr>
            <w:tcW w:type="dxa" w:w="1728"/>
          </w:tcPr>
          <w:p>
            <w:r>
              <w:t>模拟测试</w:t>
            </w:r>
          </w:p>
        </w:tc>
        <w:tc>
          <w:tcPr>
            <w:tcW w:type="dxa" w:w="1728"/>
          </w:tcPr>
          <w:p>
            <w:r>
              <w:t>返航点设置正确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避障系统正常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传感器工作正常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</w:tbl>
    <w:p>
      <w:r>
        <w:t>法规依据：CCAR-92 第 92.51 条 无人机系统运行前检查</w:t>
      </w:r>
    </w:p>
    <w:p>
      <w:pPr>
        <w:pStyle w:val="Heading2"/>
      </w:pPr>
      <w:r>
        <w:t>5.4 电池安全性能（10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电池外观正常</w:t>
            </w:r>
          </w:p>
        </w:tc>
        <w:tc>
          <w:tcPr>
            <w:tcW w:type="dxa" w:w="1728"/>
          </w:tcPr>
          <w:p>
            <w:r>
              <w:t>目视检查</w:t>
            </w:r>
          </w:p>
        </w:tc>
        <w:tc>
          <w:tcPr>
            <w:tcW w:type="dxa" w:w="1728"/>
          </w:tcPr>
          <w:p>
            <w:r>
              <w:t>无鼓包、无漏液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4.2</w:t>
            </w:r>
          </w:p>
        </w:tc>
        <w:tc>
          <w:tcPr>
            <w:tcW w:type="dxa" w:w="1728"/>
          </w:tcPr>
          <w:p>
            <w:r>
              <w:t>充电接口正常</w:t>
            </w:r>
          </w:p>
        </w:tc>
        <w:tc>
          <w:tcPr>
            <w:tcW w:type="dxa" w:w="1728"/>
          </w:tcPr>
          <w:p>
            <w:r>
              <w:t>目视 + 测试</w:t>
            </w:r>
          </w:p>
        </w:tc>
        <w:tc>
          <w:tcPr>
            <w:tcW w:type="dxa" w:w="1728"/>
          </w:tcPr>
          <w:p>
            <w:r>
              <w:t>无烧蚀、接触良好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4.3</w:t>
            </w:r>
          </w:p>
        </w:tc>
        <w:tc>
          <w:tcPr>
            <w:tcW w:type="dxa" w:w="1728"/>
          </w:tcPr>
          <w:p>
            <w:r>
              <w:t>电池管理系统正常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BMS 无故障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4.4</w:t>
            </w:r>
          </w:p>
        </w:tc>
        <w:tc>
          <w:tcPr>
            <w:tcW w:type="dxa" w:w="1728"/>
          </w:tcPr>
          <w:p>
            <w:r>
              <w:t>过放保护正常</w:t>
            </w:r>
          </w:p>
        </w:tc>
        <w:tc>
          <w:tcPr>
            <w:tcW w:type="dxa" w:w="1728"/>
          </w:tcPr>
          <w:p>
            <w:r>
              <w:t>系统自检</w:t>
            </w:r>
          </w:p>
        </w:tc>
        <w:tc>
          <w:tcPr>
            <w:tcW w:type="dxa" w:w="1728"/>
          </w:tcPr>
          <w:p>
            <w:r>
              <w:t>低压保护功能可用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电池固定可靠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锁扣正常、无松动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</w:tbl>
    <w:p>
      <w:r>
        <w:t>法规依据：AC-21-AA-2026-45 §4.5 电池安全要求</w:t>
      </w:r>
    </w:p>
    <w:p>
      <w:pPr>
        <w:pStyle w:val="Heading2"/>
      </w:pPr>
      <w:r>
        <w:t>5.5 通信链路安全性（10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5.1</w:t>
            </w:r>
          </w:p>
        </w:tc>
        <w:tc>
          <w:tcPr>
            <w:tcW w:type="dxa" w:w="1728"/>
          </w:tcPr>
          <w:p>
            <w:r>
              <w:t>遥控链路正常</w:t>
            </w:r>
          </w:p>
        </w:tc>
        <w:tc>
          <w:tcPr>
            <w:tcW w:type="dxa" w:w="1728"/>
          </w:tcPr>
          <w:p>
            <w:r>
              <w:t>距离测试</w:t>
            </w:r>
          </w:p>
        </w:tc>
        <w:tc>
          <w:tcPr>
            <w:tcW w:type="dxa" w:w="1728"/>
          </w:tcPr>
          <w:p>
            <w:r>
              <w:t>控制距离达标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图传链路正常</w:t>
            </w:r>
          </w:p>
        </w:tc>
        <w:tc>
          <w:tcPr>
            <w:tcW w:type="dxa" w:w="1728"/>
          </w:tcPr>
          <w:p>
            <w:r>
              <w:t>图像检查</w:t>
            </w:r>
          </w:p>
        </w:tc>
        <w:tc>
          <w:tcPr>
            <w:tcW w:type="dxa" w:w="1728"/>
          </w:tcPr>
          <w:p>
            <w:r>
              <w:t>图像清晰、无卡顿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5.3</w:t>
            </w:r>
          </w:p>
        </w:tc>
        <w:tc>
          <w:tcPr>
            <w:tcW w:type="dxa" w:w="1728"/>
          </w:tcPr>
          <w:p>
            <w:r>
              <w:t>失联保护正常</w:t>
            </w:r>
          </w:p>
        </w:tc>
        <w:tc>
          <w:tcPr>
            <w:tcW w:type="dxa" w:w="1728"/>
          </w:tcPr>
          <w:p>
            <w:r>
              <w:t>模拟测试</w:t>
            </w:r>
          </w:p>
        </w:tc>
        <w:tc>
          <w:tcPr>
            <w:tcW w:type="dxa" w:w="1728"/>
          </w:tcPr>
          <w:p>
            <w:r>
              <w:t>自动返航功能可用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信号干扰检测</w:t>
            </w:r>
          </w:p>
        </w:tc>
        <w:tc>
          <w:tcPr>
            <w:tcW w:type="dxa" w:w="1728"/>
          </w:tcPr>
          <w:p>
            <w:r>
              <w:t>系统显示</w:t>
            </w:r>
          </w:p>
        </w:tc>
        <w:tc>
          <w:tcPr>
            <w:tcW w:type="dxa" w:w="1728"/>
          </w:tcPr>
          <w:p>
            <w:r>
              <w:t>无强干扰警告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  <w:tr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备用链路可用</w:t>
            </w:r>
          </w:p>
        </w:tc>
        <w:tc>
          <w:tcPr>
            <w:tcW w:type="dxa" w:w="1728"/>
          </w:tcPr>
          <w:p>
            <w:r>
              <w:t>切换测试</w:t>
            </w:r>
          </w:p>
        </w:tc>
        <w:tc>
          <w:tcPr>
            <w:tcW w:type="dxa" w:w="1728"/>
          </w:tcPr>
          <w:p>
            <w:r>
              <w:t>备用频道可切换</w:t>
            </w:r>
          </w:p>
        </w:tc>
        <w:tc>
          <w:tcPr>
            <w:tcW w:type="dxa" w:w="1728"/>
          </w:tcPr>
          <w:p>
            <w:r>
              <w:t>2 分</w:t>
            </w:r>
          </w:p>
        </w:tc>
      </w:tr>
    </w:tbl>
    <w:p>
      <w:r>
        <w:t>法规依据：CCAR-92 第 92.73 条 通信链路要求</w:t>
      </w:r>
    </w:p>
    <w:p>
      <w:pPr>
        <w:pStyle w:val="Heading2"/>
      </w:pPr>
      <w:r>
        <w:t>5.6 城市场景附加项（10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检查项</w:t>
            </w:r>
          </w:p>
        </w:tc>
        <w:tc>
          <w:tcPr>
            <w:tcW w:type="dxa" w:w="1728"/>
          </w:tcPr>
          <w:p>
            <w:r>
              <w:t>检查方法</w:t>
            </w:r>
          </w:p>
        </w:tc>
        <w:tc>
          <w:tcPr>
            <w:tcW w:type="dxa" w:w="1728"/>
          </w:tcPr>
          <w:p>
            <w:r>
              <w:t>合格标准</w:t>
            </w:r>
          </w:p>
        </w:tc>
        <w:tc>
          <w:tcPr>
            <w:tcW w:type="dxa" w:w="1728"/>
          </w:tcPr>
          <w:p>
            <w:r>
              <w:t>分值</w:t>
            </w:r>
          </w:p>
        </w:tc>
      </w:tr>
      <w:tr>
        <w:tc>
          <w:tcPr>
            <w:tcW w:type="dxa" w:w="1728"/>
          </w:tcPr>
          <w:p>
            <w:r>
              <w:t>6.1</w:t>
            </w:r>
          </w:p>
        </w:tc>
        <w:tc>
          <w:tcPr>
            <w:tcW w:type="dxa" w:w="1728"/>
          </w:tcPr>
          <w:p>
            <w:r>
              <w:t>货物固定装置可靠</w:t>
            </w:r>
          </w:p>
        </w:tc>
        <w:tc>
          <w:tcPr>
            <w:tcW w:type="dxa" w:w="1728"/>
          </w:tcPr>
          <w:p>
            <w:r>
              <w:t>手动检查</w:t>
            </w:r>
          </w:p>
        </w:tc>
        <w:tc>
          <w:tcPr>
            <w:tcW w:type="dxa" w:w="1728"/>
          </w:tcPr>
          <w:p>
            <w:r>
              <w:t>锁扣正常、无松动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隐私保护模式开启</w:t>
            </w:r>
          </w:p>
        </w:tc>
        <w:tc>
          <w:tcPr>
            <w:tcW w:type="dxa" w:w="1728"/>
          </w:tcPr>
          <w:p>
            <w:r>
              <w:t>系统设置</w:t>
            </w:r>
          </w:p>
        </w:tc>
        <w:tc>
          <w:tcPr>
            <w:tcW w:type="dxa" w:w="1728"/>
          </w:tcPr>
          <w:p>
            <w:r>
              <w:t>人脸/车牌模糊开启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噪音水平达标</w:t>
            </w:r>
          </w:p>
        </w:tc>
        <w:tc>
          <w:tcPr>
            <w:tcW w:type="dxa" w:w="1728"/>
          </w:tcPr>
          <w:p>
            <w:r>
              <w:t>噪音计测量</w:t>
            </w:r>
          </w:p>
        </w:tc>
        <w:tc>
          <w:tcPr>
            <w:tcW w:type="dxa" w:w="1728"/>
          </w:tcPr>
          <w:p>
            <w:r>
              <w:t>&lt;65dB（距地面 30 米）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6.4</w:t>
            </w:r>
          </w:p>
        </w:tc>
        <w:tc>
          <w:tcPr>
            <w:tcW w:type="dxa" w:w="1728"/>
          </w:tcPr>
          <w:p>
            <w:r>
              <w:t>应急迫降点预设</w:t>
            </w:r>
          </w:p>
        </w:tc>
        <w:tc>
          <w:tcPr>
            <w:tcW w:type="dxa" w:w="1728"/>
          </w:tcPr>
          <w:p>
            <w:r>
              <w:t>航线规划</w:t>
            </w:r>
          </w:p>
        </w:tc>
        <w:tc>
          <w:tcPr>
            <w:tcW w:type="dxa" w:w="1728"/>
          </w:tcPr>
          <w:p>
            <w:r>
              <w:t>至少 3 个备降点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电子围栏生效</w:t>
            </w:r>
          </w:p>
        </w:tc>
        <w:tc>
          <w:tcPr>
            <w:tcW w:type="dxa" w:w="1728"/>
          </w:tcPr>
          <w:p>
            <w:r>
              <w:t>系统检查</w:t>
            </w:r>
          </w:p>
        </w:tc>
        <w:tc>
          <w:tcPr>
            <w:tcW w:type="dxa" w:w="1728"/>
          </w:tcPr>
          <w:p>
            <w:r>
              <w:t>禁飞区自动规避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  <w:tr>
        <w:tc>
          <w:tcPr>
            <w:tcW w:type="dxa" w:w="1728"/>
          </w:tcPr>
          <w:p>
            <w:r>
              <w:t>6.6</w:t>
            </w:r>
          </w:p>
        </w:tc>
        <w:tc>
          <w:tcPr>
            <w:tcW w:type="dxa" w:w="1728"/>
          </w:tcPr>
          <w:p>
            <w:r>
              <w:t>第三方责任险有效</w:t>
            </w:r>
          </w:p>
        </w:tc>
        <w:tc>
          <w:tcPr>
            <w:tcW w:type="dxa" w:w="1728"/>
          </w:tcPr>
          <w:p>
            <w:r>
              <w:t>文件检查</w:t>
            </w:r>
          </w:p>
        </w:tc>
        <w:tc>
          <w:tcPr>
            <w:tcW w:type="dxa" w:w="1728"/>
          </w:tcPr>
          <w:p>
            <w:r>
              <w:t>保险在有效期内</w:t>
            </w:r>
          </w:p>
        </w:tc>
        <w:tc>
          <w:tcPr>
            <w:tcW w:type="dxa" w:w="1728"/>
          </w:tcPr>
          <w:p>
            <w:r>
              <w:t>1.67 分</w:t>
            </w:r>
          </w:p>
        </w:tc>
      </w:tr>
    </w:tbl>
    <w:p>
      <w:r>
        <w:t>法规依据：AC-92-AA-2024-01 §6.2 城市场景运行要求</w:t>
      </w:r>
    </w:p>
    <w:p>
      <w:pPr>
        <w:pStyle w:val="Heading1"/>
      </w:pPr>
      <w:r>
        <w:t>六、评分与评级体系</w:t>
      </w:r>
    </w:p>
    <w:p>
      <w:pPr>
        <w:pStyle w:val="Heading2"/>
      </w:pPr>
      <w:r>
        <w:t>6.1 评分规则</w:t>
      </w:r>
    </w:p>
    <w:p>
      <w:pPr>
        <w:pStyle w:val="ListBullet"/>
      </w:pPr>
      <w:r>
        <w:t>每项检查满分 = 该类分值 ÷ 该类检查项数</w:t>
      </w:r>
    </w:p>
    <w:p>
      <w:pPr>
        <w:pStyle w:val="ListBullet"/>
      </w:pPr>
      <w:r>
        <w:t>检查通过：得满分</w:t>
      </w:r>
    </w:p>
    <w:p>
      <w:pPr>
        <w:pStyle w:val="ListBullet"/>
      </w:pPr>
      <w:r>
        <w:t>检查不通过：得 0 分</w:t>
      </w:r>
    </w:p>
    <w:p>
      <w:pPr>
        <w:pStyle w:val="ListBullet"/>
      </w:pPr>
      <w:r>
        <w:t>不适用：不计入总分（按比例折算）</w:t>
      </w:r>
    </w:p>
    <w:p>
      <w:pPr>
        <w:pStyle w:val="Heading2"/>
      </w:pPr>
      <w:r>
        <w:t>6.2 评级标准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等级</w:t>
            </w:r>
          </w:p>
        </w:tc>
        <w:tc>
          <w:tcPr>
            <w:tcW w:type="dxa" w:w="1728"/>
          </w:tcPr>
          <w:p>
            <w:r>
              <w:t>分数要求</w:t>
            </w:r>
          </w:p>
        </w:tc>
        <w:tc>
          <w:tcPr>
            <w:tcW w:type="dxa" w:w="1728"/>
          </w:tcPr>
          <w:p>
            <w:r>
              <w:t>得分率</w:t>
            </w:r>
          </w:p>
        </w:tc>
        <w:tc>
          <w:tcPr>
            <w:tcW w:type="dxa" w:w="1728"/>
          </w:tcPr>
          <w:p>
            <w:r>
              <w:t>适用场景</w:t>
            </w:r>
          </w:p>
        </w:tc>
        <w:tc>
          <w:tcPr>
            <w:tcW w:type="dxa" w:w="1728"/>
          </w:tcPr>
          <w:p>
            <w:r>
              <w:t>限制条件</w:t>
            </w:r>
          </w:p>
        </w:tc>
      </w:tr>
      <w:tr>
        <w:tc>
          <w:tcPr>
            <w:tcW w:type="dxa" w:w="1728"/>
          </w:tcPr>
          <w:p>
            <w:r>
              <w:t>A 级</w:t>
            </w:r>
          </w:p>
        </w:tc>
        <w:tc>
          <w:tcPr>
            <w:tcW w:type="dxa" w:w="1728"/>
          </w:tcPr>
          <w:p>
            <w:r>
              <w:t>≥54 分</w:t>
            </w:r>
          </w:p>
        </w:tc>
        <w:tc>
          <w:tcPr>
            <w:tcW w:type="dxa" w:w="1728"/>
          </w:tcPr>
          <w:p>
            <w:r>
              <w:t>≥90%</w:t>
            </w:r>
          </w:p>
        </w:tc>
        <w:tc>
          <w:tcPr>
            <w:tcW w:type="dxa" w:w="1728"/>
          </w:tcPr>
          <w:p>
            <w:r>
              <w:t>城市人口密集区、超视距飞行、夜间飞行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B 级</w:t>
            </w:r>
          </w:p>
        </w:tc>
        <w:tc>
          <w:tcPr>
            <w:tcW w:type="dxa" w:w="1728"/>
          </w:tcPr>
          <w:p>
            <w:r>
              <w:t>≥48 分</w:t>
            </w:r>
          </w:p>
        </w:tc>
        <w:tc>
          <w:tcPr>
            <w:tcW w:type="dxa" w:w="1728"/>
          </w:tcPr>
          <w:p>
            <w:r>
              <w:t>≥80%</w:t>
            </w:r>
          </w:p>
        </w:tc>
        <w:tc>
          <w:tcPr>
            <w:tcW w:type="dxa" w:w="1728"/>
          </w:tcPr>
          <w:p>
            <w:r>
              <w:t>郊区、视距内飞行、昼间飞行</w:t>
            </w:r>
          </w:p>
        </w:tc>
        <w:tc>
          <w:tcPr>
            <w:tcW w:type="dxa" w:w="1728"/>
          </w:tcPr>
          <w:p>
            <w:r>
              <w:t>避开人群密集区</w:t>
            </w:r>
          </w:p>
        </w:tc>
      </w:tr>
      <w:tr>
        <w:tc>
          <w:tcPr>
            <w:tcW w:type="dxa" w:w="1728"/>
          </w:tcPr>
          <w:p>
            <w:r>
              <w:t>C 级</w:t>
            </w:r>
          </w:p>
        </w:tc>
        <w:tc>
          <w:tcPr>
            <w:tcW w:type="dxa" w:w="1728"/>
          </w:tcPr>
          <w:p>
            <w:r>
              <w:t>≥36 分</w:t>
            </w:r>
          </w:p>
        </w:tc>
        <w:tc>
          <w:tcPr>
            <w:tcW w:type="dxa" w:w="1728"/>
          </w:tcPr>
          <w:p>
            <w:r>
              <w:t>≥60%</w:t>
            </w:r>
          </w:p>
        </w:tc>
        <w:tc>
          <w:tcPr>
            <w:tcW w:type="dxa" w:w="1728"/>
          </w:tcPr>
          <w:p>
            <w:r>
              <w:t>封闭场地、测试飞行、训练飞行</w:t>
            </w:r>
          </w:p>
        </w:tc>
        <w:tc>
          <w:tcPr>
            <w:tcW w:type="dxa" w:w="1728"/>
          </w:tcPr>
          <w:p>
            <w:r>
              <w:t>需申请空域</w:t>
            </w:r>
          </w:p>
        </w:tc>
      </w:tr>
      <w:tr>
        <w:tc>
          <w:tcPr>
            <w:tcW w:type="dxa" w:w="1728"/>
          </w:tcPr>
          <w:p>
            <w:r>
              <w:t>不合格</w:t>
            </w:r>
          </w:p>
        </w:tc>
        <w:tc>
          <w:tcPr>
            <w:tcW w:type="dxa" w:w="1728"/>
          </w:tcPr>
          <w:p>
            <w:r>
              <w:t>&lt;36 分</w:t>
            </w:r>
          </w:p>
        </w:tc>
        <w:tc>
          <w:tcPr>
            <w:tcW w:type="dxa" w:w="1728"/>
          </w:tcPr>
          <w:p>
            <w:r>
              <w:t>&lt;60%</w:t>
            </w:r>
          </w:p>
        </w:tc>
        <w:tc>
          <w:tcPr>
            <w:tcW w:type="dxa" w:w="1728"/>
          </w:tcPr>
          <w:p>
            <w:r>
              <w:t>禁止飞行</w:t>
            </w:r>
          </w:p>
        </w:tc>
        <w:tc>
          <w:tcPr>
            <w:tcW w:type="dxa" w:w="1728"/>
          </w:tcPr>
          <w:p>
            <w:r>
              <w:t>立即检修</w:t>
            </w:r>
          </w:p>
        </w:tc>
      </w:tr>
    </w:tbl>
    <w:p>
      <w:pPr>
        <w:pStyle w:val="Heading2"/>
      </w:pPr>
      <w:r>
        <w:t>6.3 一票否决项</w:t>
      </w:r>
    </w:p>
    <w:p>
      <w:pPr>
        <w:pStyle w:val="ListNumber"/>
      </w:pPr>
      <w:r>
        <w:t>以下检查项如不通过，直接判定为不合格：</w:t>
      </w:r>
    </w:p>
    <w:p>
      <w:pPr>
        <w:pStyle w:val="ListNumber"/>
      </w:pPr>
      <w:r>
        <w:t>机身结构出现裂纹或变形</w:t>
      </w:r>
    </w:p>
    <w:p>
      <w:pPr>
        <w:pStyle w:val="ListNumber"/>
      </w:pPr>
      <w:r>
        <w:t>电池鼓包或漏液</w:t>
      </w:r>
    </w:p>
    <w:p>
      <w:pPr>
        <w:pStyle w:val="ListNumber"/>
      </w:pPr>
      <w:r>
        <w:t>通信链路失联保护功能失效</w:t>
      </w:r>
    </w:p>
    <w:p>
      <w:pPr>
        <w:pStyle w:val="ListNumber"/>
      </w:pPr>
      <w:r>
        <w:t>飞控系统 GPS 无法锁星</w:t>
      </w:r>
    </w:p>
    <w:p>
      <w:pPr>
        <w:pStyle w:val="Heading1"/>
      </w:pPr>
      <w:r>
        <w:t>七、使用流程</w:t>
      </w:r>
    </w:p>
    <w:p>
      <w:pPr>
        <w:pStyle w:val="Heading2"/>
      </w:pPr>
      <w:r>
        <w:t>7.1 飞前检查流程</w:t>
      </w:r>
    </w:p>
    <w:p>
      <w:pPr>
        <w:pStyle w:val="ListNumber"/>
      </w:pPr>
      <w:r>
        <w:t>步骤 1: 外观检查（机身结构、螺旋桨、起落架）- 耗时 3 分钟</w:t>
      </w:r>
    </w:p>
    <w:p>
      <w:pPr>
        <w:pStyle w:val="ListNumber"/>
      </w:pPr>
      <w:r>
        <w:t>步骤 2: 动力系统检查（电机、电调、电池电压）- 耗时 4 分钟</w:t>
      </w:r>
    </w:p>
    <w:p>
      <w:pPr>
        <w:pStyle w:val="ListNumber"/>
      </w:pPr>
      <w:r>
        <w:t>步骤 3: 飞控系统检查（GPS、指南针、IMU、返航功能）- 耗时 3 分钟</w:t>
      </w:r>
    </w:p>
    <w:p>
      <w:pPr>
        <w:pStyle w:val="ListNumber"/>
      </w:pPr>
      <w:r>
        <w:t>步骤 4: 通信链路检查（遥控、图传、失联保护）- 耗时 3 分钟</w:t>
      </w:r>
    </w:p>
    <w:p>
      <w:pPr>
        <w:pStyle w:val="ListNumber"/>
      </w:pPr>
      <w:r>
        <w:t>步骤 5: 场景附加检查（货物固定、隐私模式、噪音）- 耗时 4 分钟</w:t>
      </w:r>
    </w:p>
    <w:p>
      <w:pPr>
        <w:pStyle w:val="ListNumber"/>
      </w:pPr>
      <w:r>
        <w:t>步骤 6: 汇总评分，确定适航等级 - 耗时 3 分钟</w:t>
      </w:r>
    </w:p>
    <w:p>
      <w:r>
        <w:t>总计检查时间：约 20 分钟</w:t>
      </w:r>
    </w:p>
    <w:p>
      <w:pPr>
        <w:pStyle w:val="Heading2"/>
      </w:pPr>
      <w:r>
        <w:t>7.2 异常处理建议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异常类型</w:t>
            </w:r>
          </w:p>
        </w:tc>
        <w:tc>
          <w:tcPr>
            <w:tcW w:type="dxa" w:w="2880"/>
          </w:tcPr>
          <w:p>
            <w:r>
              <w:t>处理措施</w:t>
            </w:r>
          </w:p>
        </w:tc>
        <w:tc>
          <w:tcPr>
            <w:tcW w:type="dxa" w:w="2880"/>
          </w:tcPr>
          <w:p>
            <w:r>
              <w:t>复飞条件</w:t>
            </w:r>
          </w:p>
        </w:tc>
      </w:tr>
      <w:tr>
        <w:tc>
          <w:tcPr>
            <w:tcW w:type="dxa" w:w="2880"/>
          </w:tcPr>
          <w:p>
            <w:r>
              <w:t>机身轻微划痕</w:t>
            </w:r>
          </w:p>
        </w:tc>
        <w:tc>
          <w:tcPr>
            <w:tcW w:type="dxa" w:w="2880"/>
          </w:tcPr>
          <w:p>
            <w:r>
              <w:t>记录在案，持续观察</w:t>
            </w:r>
          </w:p>
        </w:tc>
        <w:tc>
          <w:tcPr>
            <w:tcW w:type="dxa" w:w="2880"/>
          </w:tcPr>
          <w:p>
            <w:r>
              <w:t>可立即复飞</w:t>
            </w:r>
          </w:p>
        </w:tc>
      </w:tr>
      <w:tr>
        <w:tc>
          <w:tcPr>
            <w:tcW w:type="dxa" w:w="2880"/>
          </w:tcPr>
          <w:p>
            <w:r>
              <w:t>螺旋桨轻微磨损</w:t>
            </w:r>
          </w:p>
        </w:tc>
        <w:tc>
          <w:tcPr>
            <w:tcW w:type="dxa" w:w="2880"/>
          </w:tcPr>
          <w:p>
            <w:r>
              <w:t>更换螺旋桨</w:t>
            </w:r>
          </w:p>
        </w:tc>
        <w:tc>
          <w:tcPr>
            <w:tcW w:type="dxa" w:w="2880"/>
          </w:tcPr>
          <w:p>
            <w:r>
              <w:t>更换后可复飞</w:t>
            </w:r>
          </w:p>
        </w:tc>
      </w:tr>
      <w:tr>
        <w:tc>
          <w:tcPr>
            <w:tcW w:type="dxa" w:w="2880"/>
          </w:tcPr>
          <w:p>
            <w:r>
              <w:t>电池电压偏低</w:t>
            </w:r>
          </w:p>
        </w:tc>
        <w:tc>
          <w:tcPr>
            <w:tcW w:type="dxa" w:w="2880"/>
          </w:tcPr>
          <w:p>
            <w:r>
              <w:t>更换电池或充电</w:t>
            </w:r>
          </w:p>
        </w:tc>
        <w:tc>
          <w:tcPr>
            <w:tcW w:type="dxa" w:w="2880"/>
          </w:tcPr>
          <w:p>
            <w:r>
              <w:t>电压正常后可复飞</w:t>
            </w:r>
          </w:p>
        </w:tc>
      </w:tr>
      <w:tr>
        <w:tc>
          <w:tcPr>
            <w:tcW w:type="dxa" w:w="2880"/>
          </w:tcPr>
          <w:p>
            <w:r>
              <w:t>GPS 锁星不足</w:t>
            </w:r>
          </w:p>
        </w:tc>
        <w:tc>
          <w:tcPr>
            <w:tcW w:type="dxa" w:w="2880"/>
          </w:tcPr>
          <w:p>
            <w:r>
              <w:t>检查天线，更换场地</w:t>
            </w:r>
          </w:p>
        </w:tc>
        <w:tc>
          <w:tcPr>
            <w:tcW w:type="dxa" w:w="2880"/>
          </w:tcPr>
          <w:p>
            <w:r>
              <w:t>锁星≥6 颗后可复飞</w:t>
            </w:r>
          </w:p>
        </w:tc>
      </w:tr>
      <w:tr>
        <w:tc>
          <w:tcPr>
            <w:tcW w:type="dxa" w:w="2880"/>
          </w:tcPr>
          <w:p>
            <w:r>
              <w:t>通信距离不足</w:t>
            </w:r>
          </w:p>
        </w:tc>
        <w:tc>
          <w:tcPr>
            <w:tcW w:type="dxa" w:w="2880"/>
          </w:tcPr>
          <w:p>
            <w:r>
              <w:t>检查天线，排除干扰</w:t>
            </w:r>
          </w:p>
        </w:tc>
        <w:tc>
          <w:tcPr>
            <w:tcW w:type="dxa" w:w="2880"/>
          </w:tcPr>
          <w:p>
            <w:r>
              <w:t>距离达标后可复飞</w:t>
            </w:r>
          </w:p>
        </w:tc>
      </w:tr>
      <w:tr>
        <w:tc>
          <w:tcPr>
            <w:tcW w:type="dxa" w:w="2880"/>
          </w:tcPr>
          <w:p>
            <w:r>
              <w:t>结构裂纹/变形</w:t>
            </w:r>
          </w:p>
        </w:tc>
        <w:tc>
          <w:tcPr>
            <w:tcW w:type="dxa" w:w="2880"/>
          </w:tcPr>
          <w:p>
            <w:r>
              <w:t>返厂维修</w:t>
            </w:r>
          </w:p>
        </w:tc>
        <w:tc>
          <w:tcPr>
            <w:tcW w:type="dxa" w:w="2880"/>
          </w:tcPr>
          <w:p>
            <w:r>
              <w:t>厂家检测合格后可复飞</w:t>
            </w:r>
          </w:p>
        </w:tc>
      </w:tr>
    </w:tbl>
    <w:p>
      <w:pPr>
        <w:pStyle w:val="Heading1"/>
      </w:pPr>
      <w:r>
        <w:t>八、创新点说明</w:t>
      </w:r>
    </w:p>
    <w:p>
      <w:pPr>
        <w:pStyle w:val="Heading2"/>
      </w:pPr>
      <w:r>
        <w:t>8.1 法规条款映射</w:t>
      </w:r>
    </w:p>
    <w:p>
      <w:r>
        <w:t>本清单的每项检查都对应具体法规条款，确保合规性可追溯。例如：电池安全性能对应 AC-21-AA-2026-45 §4.3 动力系统安全；通信链路安全性对应 CCAR-92 第 92.51 条；货物固定装置对应 AC-92-AA-2024-01 §6.2 载荷安全。</w:t>
      </w:r>
    </w:p>
    <w:p>
      <w:pPr>
        <w:pStyle w:val="Heading2"/>
      </w:pPr>
      <w:r>
        <w:t>8.2 城市场景定制</w:t>
      </w:r>
    </w:p>
    <w:p>
      <w:pPr>
        <w:pStyle w:val="ListNumber"/>
      </w:pPr>
      <w:r>
        <w:t>针对城市物流特殊需求，新增以下检查项：</w:t>
      </w:r>
    </w:p>
    <w:p>
      <w:pPr>
        <w:pStyle w:val="ListNumber"/>
      </w:pPr>
      <w:r>
        <w:t>货物固定装置 — 防止运输过程中货物掉落</w:t>
      </w:r>
    </w:p>
    <w:p>
      <w:pPr>
        <w:pStyle w:val="ListNumber"/>
      </w:pPr>
      <w:r>
        <w:t>隐私保护模式 — 摄像头自动模糊人脸/车牌</w:t>
      </w:r>
    </w:p>
    <w:p>
      <w:pPr>
        <w:pStyle w:val="ListNumber"/>
      </w:pPr>
      <w:r>
        <w:t>噪音控制 — 确保噪音低于城市区域标准（&lt;65dB）</w:t>
      </w:r>
    </w:p>
    <w:p>
      <w:pPr>
        <w:pStyle w:val="ListNumber"/>
      </w:pPr>
      <w:r>
        <w:t>应急迫降点识别 — 预设应急降落区域</w:t>
      </w:r>
    </w:p>
    <w:p>
      <w:pPr>
        <w:pStyle w:val="ListNumber"/>
      </w:pPr>
      <w:r>
        <w:t>电子围栏 — 禁飞区自动规避</w:t>
      </w:r>
    </w:p>
    <w:p>
      <w:pPr>
        <w:pStyle w:val="ListNumber"/>
      </w:pPr>
      <w:r>
        <w:t>保险有效性 — 第三方责任险在有效期内</w:t>
      </w:r>
    </w:p>
    <w:p>
      <w:pPr>
        <w:pStyle w:val="Heading2"/>
      </w:pPr>
      <w:r>
        <w:t>8.3 分级评级体系</w:t>
      </w:r>
    </w:p>
    <w:p>
      <w:r>
        <w:t>参考 AC-21-AA-2022-40 的分级分类思想，设计 A/B/C 三级适航评级：A 级为最高标准，适用于高风险场景；B 级为常规标准，适用于一般运营；C 级为基础标准，仅适用于封闭场地。</w:t>
      </w:r>
    </w:p>
    <w:p>
      <w:pPr>
        <w:pStyle w:val="Heading1"/>
      </w:pPr>
      <w:r>
        <w:t>九、可行性分析</w:t>
      </w:r>
    </w:p>
    <w:p>
      <w:pPr>
        <w:pStyle w:val="ListBullet"/>
      </w:pPr>
      <w:r>
        <w:t>技术可行性：检查项目均为目视检查或简单测试，无需专业设备；检查流程可在 20 分钟内完成，不影响运营效率；评分系统简单明了，一线操作员易掌握。</w:t>
      </w:r>
    </w:p>
    <w:p>
      <w:pPr>
        <w:pStyle w:val="ListBullet"/>
      </w:pPr>
      <w:r>
        <w:t>经济可行性：无需额外硬件投入；检查表可打印或使用电子表单；降低事故风险，减少维修成本。</w:t>
      </w:r>
    </w:p>
    <w:p>
      <w:pPr>
        <w:pStyle w:val="ListBullet"/>
      </w:pPr>
      <w:r>
        <w:t>法规可行性：依据现行有效法规设计；符合民航局无人机管理方向；可与现有运营手册整合。</w:t>
      </w:r>
    </w:p>
    <w:p>
      <w:pPr>
        <w:pStyle w:val="ListBullet"/>
      </w:pPr>
      <w:r>
        <w:t>推广可行性：适用于各类物流无人机运营商；可作为培训机构教材；可为监管部门提供参考。</w:t>
      </w:r>
    </w:p>
    <w:p>
      <w:pPr>
        <w:pStyle w:val="Heading1"/>
      </w:pPr>
      <w:r>
        <w:t>十、结论与展望</w:t>
      </w:r>
    </w:p>
    <w:p>
      <w:r>
        <w:t>本设计完成了一套面向城市物流无人机的适航合规性检查清单，具有法规合规、操作简便、场景适配、分级管理等特点。局限性包括：未覆盖所有无人机型号，需根据具体机型调整；部分检查项需要进一步量化标准；缺乏实际运营数据验证。改进方向：收集更多运营商反馈，优化检查项；开发电子化检查 APP，自动记录检查数据；与监管部门合作，推动标准化。</w:t>
      </w:r>
    </w:p>
    <w:p>
      <w:pPr>
        <w:pStyle w:val="Heading1"/>
      </w:pPr>
      <w:r>
        <w:t>十一、参考文献</w:t>
      </w:r>
    </w:p>
    <w:p>
      <w:pPr>
        <w:pStyle w:val="ListNumber"/>
      </w:pPr>
      <w:r>
        <w:t>国务院。《民用航空器适航管理条例》（国令第 761 号）.2024</w:t>
      </w:r>
    </w:p>
    <w:p>
      <w:pPr>
        <w:pStyle w:val="ListNumber"/>
      </w:pPr>
      <w:r>
        <w:t>中国民用航空局。CCAR-21-R4《民用航空产品和零部件合格审定规定》.2025</w:t>
      </w:r>
    </w:p>
    <w:p>
      <w:pPr>
        <w:pStyle w:val="ListNumber"/>
      </w:pPr>
      <w:r>
        <w:t>中国民用航空局。CCAR-92《民用无人机运行安全管理规则》.2025</w:t>
      </w:r>
    </w:p>
    <w:p>
      <w:pPr>
        <w:pStyle w:val="ListNumber"/>
      </w:pPr>
      <w:r>
        <w:t>中国民用航空局。AC-21-AA-2026-44《限用类无人机适航标准》.2026</w:t>
      </w:r>
    </w:p>
    <w:p>
      <w:pPr>
        <w:pStyle w:val="ListNumber"/>
      </w:pPr>
      <w:r>
        <w:t>中国民用航空局。AC-21-AA-2026-45《动力提升航空器适航标准》.2026</w:t>
      </w:r>
    </w:p>
    <w:p>
      <w:pPr>
        <w:pStyle w:val="ListNumber"/>
      </w:pPr>
      <w:r>
        <w:t>中国民用航空局。AC-92-AA-2024-01《无人机安全评定指南》.2024</w:t>
      </w:r>
    </w:p>
    <w:p>
      <w:pPr>
        <w:pStyle w:val="ListNumber"/>
      </w:pPr>
      <w:r>
        <w:t>中国民用航空局。AC-21-AA-2022-40《分级分类 + 安全性分析指南》.2022</w:t>
      </w:r>
    </w:p>
    <w:p>
      <w:pPr>
        <w:pStyle w:val="ListNumber"/>
      </w:pPr>
      <w:r>
        <w:t>中国民用航空局。AP-21-AA-2022-71《审定管理程序》.2022</w:t>
      </w:r>
    </w:p>
    <w:p>
      <w:pPr>
        <w:pStyle w:val="ListNumber"/>
      </w:pPr>
      <w:r>
        <w:t>中国民用航空局。AC-92-AA-2024-02《中型无人机适航标准》.2024</w:t>
      </w:r>
    </w:p>
    <w:p>
      <w:pPr>
        <w:pStyle w:val="ListNumber"/>
      </w:pPr>
      <w:r>
        <w:t>国际民用航空组织 (ICAO).《无人机系统手册》(Doc 10019).2023</w:t>
      </w:r>
    </w:p>
    <w:p>
      <w:pPr>
        <w:pStyle w:val="ListNumber"/>
      </w:pPr>
      <w:r>
        <w:t>美国联邦航空管理局 (FAA).《Part 107 小型无人机运行规则》.2023</w:t>
      </w:r>
    </w:p>
    <w:p>
      <w:pPr>
        <w:pStyle w:val="ListNumber"/>
      </w:pPr>
      <w:r>
        <w:t>欧洲航空安全局 (EASA).《无人机运行规则 (EU) 2019/947》.2023</w:t>
      </w:r>
    </w:p>
    <w:p>
      <w:pPr>
        <w:pStyle w:val="ListNumber"/>
      </w:pPr>
      <w:r>
        <w:t>李志强，王明。《民用无人机适航管理研究》.航空工业出版社，2025</w:t>
      </w:r>
    </w:p>
    <w:p>
      <w:pPr>
        <w:pStyle w:val="ListNumber"/>
      </w:pPr>
      <w:r>
        <w:t>张伟，刘洋。《城市物流配送无人机安全技术》.国防工业出版社，2025</w:t>
      </w:r>
    </w:p>
    <w:p>
      <w:pPr>
        <w:pStyle w:val="ListNumber"/>
      </w:pPr>
      <w:r>
        <w:t>陈华，等。《低空经济发展报告 (2026)》.中国民航出版社，2026</w:t>
      </w:r>
    </w:p>
    <w:p>
      <w:r>
        <w:br w:type="page"/>
      </w:r>
    </w:p>
    <w:p>
      <w:pPr>
        <w:pStyle w:val="Heading1"/>
      </w:pPr>
      <w:r>
        <w:t>附录 A：法规条款映射表</w:t>
      </w:r>
    </w:p>
    <w:p>
      <w:pPr>
        <w:pStyle w:val="Heading2"/>
      </w:pPr>
      <w:r>
        <w:t>A.1 机身结构完整性映射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机架无裂纹、变形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§3.2.1 无人机结构应无可见损伤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螺丝/连接件紧固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§3.2.3 连接件应紧固可靠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螺旋桨无损伤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§4.1.2 推进系统部件应完好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起落架完好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§3.2.5 起落装置应功能正常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货物挂载装置可靠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§6.2.1 载荷固定装置应可靠</w:t>
            </w:r>
          </w:p>
        </w:tc>
      </w:tr>
    </w:tbl>
    <w:p>
      <w:pPr>
        <w:pStyle w:val="Heading2"/>
      </w:pPr>
      <w:r>
        <w:t>A.2 动力系统稳定性映射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电机运转正常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§4.3.1 动力系统应运转正常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电调响应正常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§4.3.2 控制系统响应应灵敏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电池电压正常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§4.5.1 电池电压应在正常范围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电池温度正常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§4.5.3 电池温度应低于限值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续航能力达标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§4.3.5 续航能力应满足任务要求</w:t>
            </w:r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动力冗余正常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§4.3.7 多旋翼应具备动力冗余</w:t>
            </w:r>
          </w:p>
        </w:tc>
      </w:tr>
    </w:tbl>
    <w:p>
      <w:pPr>
        <w:pStyle w:val="Heading2"/>
      </w:pPr>
      <w:r>
        <w:t>A.3 飞控系统可靠性映射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GPS 锁星正常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92.51 条 导航系统应工作正常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指南针校准正常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§3.4.2 磁罗盘应校准准确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IMU 状态正常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§3.4.1 惯性测量单元应正常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返航功能正常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92.53 条 应急返航功能应可用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避障系统正常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§5.3.2 避障系统应功能正常</w:t>
            </w:r>
          </w:p>
        </w:tc>
      </w:tr>
    </w:tbl>
    <w:p>
      <w:pPr>
        <w:pStyle w:val="Heading2"/>
      </w:pPr>
      <w:r>
        <w:t>A.4 电池安全性能映射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电池外观正常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§4.5.2 电池外观应无损伤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充电接口正常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§4.5.4 充电接口应接触良好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电池管理系统正常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§4.5.5 BMS 应功能正常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过放保护正常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§4.5.6 过放保护应有效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电池固定可靠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§3.3.1 电池安装应牢固</w:t>
            </w:r>
          </w:p>
        </w:tc>
      </w:tr>
    </w:tbl>
    <w:p>
      <w:pPr>
        <w:pStyle w:val="Heading2"/>
      </w:pPr>
      <w:r>
        <w:t>A.5 通信链路安全性映射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遥控链路正常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92.73 条 遥控链路应可靠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图传链路正常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92.75 条 图像传输应清晰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失联保护正常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92.53 条 失联保护应有效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信号干扰检测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§5.4.1 应能检测信号干扰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备用链路可用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92.77 条 备用通信应可用</w:t>
            </w:r>
          </w:p>
        </w:tc>
      </w:tr>
    </w:tbl>
    <w:p>
      <w:pPr>
        <w:pStyle w:val="Heading2"/>
      </w:pPr>
      <w:r>
        <w:t>A.6 城市场景附加项映射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检查项</w:t>
            </w:r>
          </w:p>
        </w:tc>
        <w:tc>
          <w:tcPr>
            <w:tcW w:type="dxa" w:w="2160"/>
          </w:tcPr>
          <w:p>
            <w:r>
              <w:t>检查内容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条款摘要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货物固定装置可靠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§6.2.1 载荷固定应可靠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隐私保护模式开启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§7.1.3 应保护个人隐私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噪音水平达标</w:t>
            </w:r>
          </w:p>
        </w:tc>
        <w:tc>
          <w:tcPr>
            <w:tcW w:type="dxa" w:w="2160"/>
          </w:tcPr>
          <w:p>
            <w:r>
              <w:t>AC-92-AA-2024-01</w:t>
            </w:r>
          </w:p>
        </w:tc>
        <w:tc>
          <w:tcPr>
            <w:tcW w:type="dxa" w:w="2160"/>
          </w:tcPr>
          <w:p>
            <w:r>
              <w:t>§7.2.1 噪音应符合标准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应急迫降点预设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92.55 条 应预设应急降落点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电子围栏生效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92.31 条 禁飞区应自动规避</w:t>
            </w:r>
          </w:p>
        </w:tc>
      </w:tr>
      <w:tr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第三方责任险有效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92.15 条 应投保第三方责任险</w:t>
            </w:r>
          </w:p>
        </w:tc>
      </w:tr>
    </w:tbl>
    <w:p>
      <w:pPr>
        <w:pStyle w:val="Heading2"/>
      </w:pPr>
      <w:r>
        <w:t>A.7 一票否决项法规依据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一票否决项</w:t>
            </w:r>
          </w:p>
        </w:tc>
        <w:tc>
          <w:tcPr>
            <w:tcW w:type="dxa" w:w="2160"/>
          </w:tcPr>
          <w:p>
            <w:r>
              <w:t>法规依据</w:t>
            </w:r>
          </w:p>
        </w:tc>
        <w:tc>
          <w:tcPr>
            <w:tcW w:type="dxa" w:w="2160"/>
          </w:tcPr>
          <w:p>
            <w:r>
              <w:t>条款编号</w:t>
            </w:r>
          </w:p>
        </w:tc>
        <w:tc>
          <w:tcPr>
            <w:tcW w:type="dxa" w:w="2160"/>
          </w:tcPr>
          <w:p>
            <w:r>
              <w:t>风险说明</w:t>
            </w:r>
          </w:p>
        </w:tc>
      </w:tr>
      <w:tr>
        <w:tc>
          <w:tcPr>
            <w:tcW w:type="dxa" w:w="2160"/>
          </w:tcPr>
          <w:p>
            <w:r>
              <w:t>机身结构裂纹/变形</w:t>
            </w:r>
          </w:p>
        </w:tc>
        <w:tc>
          <w:tcPr>
            <w:tcW w:type="dxa" w:w="2160"/>
          </w:tcPr>
          <w:p>
            <w:r>
              <w:t>AC-21-AA-2026-44</w:t>
            </w:r>
          </w:p>
        </w:tc>
        <w:tc>
          <w:tcPr>
            <w:tcW w:type="dxa" w:w="2160"/>
          </w:tcPr>
          <w:p>
            <w:r>
              <w:t>§3.2.1</w:t>
            </w:r>
          </w:p>
        </w:tc>
        <w:tc>
          <w:tcPr>
            <w:tcW w:type="dxa" w:w="2160"/>
          </w:tcPr>
          <w:p>
            <w:r>
              <w:t>可能导致空中解体</w:t>
            </w:r>
          </w:p>
        </w:tc>
      </w:tr>
      <w:tr>
        <w:tc>
          <w:tcPr>
            <w:tcW w:type="dxa" w:w="2160"/>
          </w:tcPr>
          <w:p>
            <w:r>
              <w:t>电池鼓包/漏液</w:t>
            </w:r>
          </w:p>
        </w:tc>
        <w:tc>
          <w:tcPr>
            <w:tcW w:type="dxa" w:w="2160"/>
          </w:tcPr>
          <w:p>
            <w:r>
              <w:t>AC-21-AA-2026-45</w:t>
            </w:r>
          </w:p>
        </w:tc>
        <w:tc>
          <w:tcPr>
            <w:tcW w:type="dxa" w:w="2160"/>
          </w:tcPr>
          <w:p>
            <w:r>
              <w:t>§4.5.2</w:t>
            </w:r>
          </w:p>
        </w:tc>
        <w:tc>
          <w:tcPr>
            <w:tcW w:type="dxa" w:w="2160"/>
          </w:tcPr>
          <w:p>
            <w:r>
              <w:t>可能引发起火爆炸</w:t>
            </w:r>
          </w:p>
        </w:tc>
      </w:tr>
      <w:tr>
        <w:tc>
          <w:tcPr>
            <w:tcW w:type="dxa" w:w="2160"/>
          </w:tcPr>
          <w:p>
            <w:r>
              <w:t>失联保护功能失效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92.53 条</w:t>
            </w:r>
          </w:p>
        </w:tc>
        <w:tc>
          <w:tcPr>
            <w:tcW w:type="dxa" w:w="2160"/>
          </w:tcPr>
          <w:p>
            <w:r>
              <w:t>可能导致飞丢撞机</w:t>
            </w:r>
          </w:p>
        </w:tc>
      </w:tr>
      <w:tr>
        <w:tc>
          <w:tcPr>
            <w:tcW w:type="dxa" w:w="2160"/>
          </w:tcPr>
          <w:p>
            <w:r>
              <w:t>GPS 锁星不足</w:t>
            </w:r>
          </w:p>
        </w:tc>
        <w:tc>
          <w:tcPr>
            <w:tcW w:type="dxa" w:w="2160"/>
          </w:tcPr>
          <w:p>
            <w:r>
              <w:t>CCAR-92</w:t>
            </w:r>
          </w:p>
        </w:tc>
        <w:tc>
          <w:tcPr>
            <w:tcW w:type="dxa" w:w="2160"/>
          </w:tcPr>
          <w:p>
            <w:r>
              <w:t>第 92.51 条</w:t>
            </w:r>
          </w:p>
        </w:tc>
        <w:tc>
          <w:tcPr>
            <w:tcW w:type="dxa" w:w="2160"/>
          </w:tcPr>
          <w:p>
            <w:r>
              <w:t>可能导致定位失效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