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color w:val="7030A0"/>
        </w:rPr>
        <w:t>Ding: The project forecasts a rolling 24-hour proxy-SOFA score ending at T+6, using only measurements before T. The secondary label is 1 when that score minus SOFA_now (the score over [T-24,T)) is at least 2. These windows overlap for 18 hours, so this label is not an acute deterioration event in the next 6 hours or a validated early-warning outcome. The historical text below is preserved for review.</w:t>
      </w:r>
    </w:p>
    <w:p>
      <w:pPr>
        <w:pStyle w:val="Title"/>
      </w:pPr>
      <w:r>
        <w:t>Beyond Persistence: Short-Horizon SOFA Forecasting and Organ-System Heterogeneity in ICU Patients</w:t>
      </w:r>
    </w:p>
    <w:p>
      <w:pPr>
        <w:jc w:val="center"/>
      </w:pPr>
      <w:r>
        <w:rPr>
          <w:b w:val="0"/>
          <w:i/>
          <w:sz w:val="20"/>
        </w:rPr>
        <w:t>Internal report -- SOFA trajectory forecasting project</w:t>
      </w:r>
    </w:p>
    <w:p>
      <w:r>
        <w:rPr>
          <w:b w:val="0"/>
          <w:i w:val="0"/>
          <w:sz w:val="17"/>
        </w:rPr>
        <w:t>Companion artefacts: modeling/sofa_forecasting.ipynb (executed 2026-09-17, all numbers below reproduce it exactly); SOFA_forecast_project_plan.docx (full decision log D1-D24); SOFA_forecasting_TRIPOD_AI_checklist.docx (27-item reporting compliance table); SOFA_forecasting_team_briefing.docx (plain-language version); SOFA_modelling_approaches.docx (the three candidate approaches considered before this one was chosen). Code: github.com/398-21/healthcare-ai-assin.</w:t>
      </w:r>
    </w:p>
    <w:p>
      <w:pPr>
        <w:pStyle w:val="Heading1"/>
      </w:pPr>
      <w:r>
        <w:t>Abstract</w:t>
      </w:r>
    </w:p>
    <w:p>
      <w:r>
        <w:rPr>
          <w:b/>
          <w:i w:val="0"/>
        </w:rPr>
        <w:t>Background.</w:t>
      </w:r>
    </w:p>
    <w:p>
      <w:r>
        <w:rPr>
          <w:b w:val="0"/>
          <w:i w:val="0"/>
        </w:rPr>
        <w:t>The Sequential Organ Failure Assessment (SOFA) score is normally computed once every 24 hours, retrospectively. Clinicians have no algorithmic forward-looking estimate of where a patient's organ-dysfunction burden is heading between assessments. The PhysioNet/Computing in Cardiology (CinC) Challenge 2012 dataset provides dense, irregularly-sampled vitals and laboratory measurements for 12,000 adult ICU stays but, notably, no medication data of any kind -- so the cardiovascular sub-score (normally driven by vasopressor/inotrope dose) cannot be computed above a binary 0/1 ceiling from this data alone.</w:t>
      </w:r>
    </w:p>
    <w:p>
      <w:r>
        <w:rPr>
          <w:b/>
          <w:i w:val="0"/>
        </w:rPr>
        <w:t>Objective.</w:t>
      </w:r>
    </w:p>
    <w:p>
      <w:r>
        <w:rPr>
          <w:b w:val="0"/>
          <w:i w:val="0"/>
        </w:rPr>
        <w:t>To test whether short-horizon machine-learning forecasting of a patient's rolling SOFA score adds predictive information beyond a naive persistence baseline (“assume no change”), and -- the central question this report is organised around -- whether any such gain is uniform across the six constituent organ axes or concentrated in specific ones. A secondary question asks whether the same information usefully discriminates clinically meaningful deterioration (a ≥2-point SOFA rise), and whether added model complexity (non-linear and ordinal formulations vs. a plain linear baseline) is actually earning its keep for either question.</w:t>
      </w:r>
    </w:p>
    <w:p>
      <w:r>
        <w:rPr>
          <w:b/>
          <w:i w:val="0"/>
        </w:rPr>
        <w:t>Methods.</w:t>
      </w:r>
    </w:p>
    <w:p>
      <w:r>
        <w:rPr>
          <w:b w:val="0"/>
          <w:i w:val="0"/>
        </w:rPr>
        <w:t>12,000 ICU stays (PhysioNet/CinC Challenge 2012, Set A) were used to build 48,000 (record × decision-time) forecasting instances at T ∈ {24, 30, 36, 42} h, with expanding-window features (407 columns) computed only from data available before T. Five model families were compared under an identical protocol -- a small fixed hyperparameter grid selected on an external validation split -- record-level, stratified, 70/15/15 train/validation/test: an ordinal cumulative-binary decomposition (Frank &amp; Hall, 2001), a Ridge/logistic-regression linear baseline, HistGradientBoosting (the primary family), CatBoost, and LightGBM. Performance was benchmarked against a persistence baseline (“assume no change”) for the regression task and a prevalence-based no-skill reference (Saito &amp; Rehmsmeier, 2015) for the classification task, with bootstrap 95% confidence intervals throughout.</w:t>
      </w:r>
    </w:p>
    <w:p>
      <w:r>
        <w:rPr>
          <w:b/>
          <w:i w:val="0"/>
        </w:rPr>
        <w:t>Results.</w:t>
      </w:r>
    </w:p>
    <w:p>
      <w:r>
        <w:rPr>
          <w:b w:val="0"/>
          <w:i w:val="0"/>
        </w:rPr>
        <w:t>Four of the five families -- the ordinal decomposition, HistGradientBoosting, CatBoost, and LightGBM -- beat the persistence baseline on total-SOFA MAE at every one of the four horizons, on both the validation and test splits; the plain linear baseline did not, losing to persistence at three of four horizons. The ordinal decomposition had the lowest total-SOFA MAE at every horizon on the held-out test split (0.54-0.63, vs. persistence's 0.59-0.96). This improvement was not evenly spread across organ systems: averaged across all four horizons, every trained family had a WORSE per-axis MAE than persistence for the respiratory, coagulation, liver, cardiovascular, and renal axes, and the total-score gain came almost entirely from the neurological axis, where every non-linear family clearly beat persistence. The deterioration classifiers (excluding the ordinal family, which has no classifier variant) achieved AUROC 0.78-0.84 (no-skill 0.50) and AUPRC 0.18-0.31 (no-skill, i.e. prevalence, 0.04-0.05) on the test split, but were not well calibrated in absolute terms: the highest-risk decile's mean predicted probability (0.70) substantially overstated its observed event rate (0.22).</w:t>
      </w:r>
    </w:p>
    <w:p>
      <w:r>
        <w:rPr>
          <w:b/>
          <w:i w:val="0"/>
        </w:rPr>
        <w:t>Conclusions.</w:t>
      </w:r>
    </w:p>
    <w:p>
      <w:r>
        <w:rPr>
          <w:b w:val="0"/>
          <w:i w:val="0"/>
        </w:rPr>
        <w:t>A short-horizon rolling SOFA forecast is feasible from routinely available physiological and laboratory measurements and features derived from them, without any medication data, and clearly beats naive persistence -- but the gain is concentrated in the neurological axis rather than spread evenly across organ systems, and the cardiovascular axis remains fundamentally limited by the absence of vasopressor data in this dataset. Among the formulations tested, the ordinal decomposition produced the lowest total-SOFA MAE at every horizon, including against a controlled ablation ruling out that this simply reflects predicting the absolute score rather than a delta (Section 3.7) -- a genuine effect of the decomposition itself, not an artefact of target formulation.</w:t>
      </w:r>
    </w:p>
    <w:p>
      <w:r>
        <w:br w:type="page"/>
      </w:r>
    </w:p>
    <w:p>
      <w:pPr>
        <w:pStyle w:val="Heading1"/>
      </w:pPr>
      <w:r>
        <w:t>1. Introduction</w:t>
      </w:r>
    </w:p>
    <w:p>
      <w:pPr>
        <w:pStyle w:val="Heading2"/>
      </w:pPr>
      <w:r>
        <w:t>1.1 Clinical background and motivation</w:t>
      </w:r>
    </w:p>
    <w:p>
      <w:r>
        <w:rPr>
          <w:b w:val="0"/>
          <w:i w:val="0"/>
        </w:rPr>
        <w:t>The SOFA score (Vincent et al., 1996) quantifies dysfunction across six organ systems -- respiratory, coagulation, hepatic, cardiovascular, neurological, and renal -- each scored 0-4, and is a standard tool for tracking illness severity and organ failure over an ICU stay. In routine and research practice it is computed once every 24 hours from the worst value observed in that window. This retrospective, once-daily cadence leaves a gap: between assessments, a clinician has no model-based estimate of where a patient's organ-dysfunction burden is heading. A short-horizon forecast -- “based on everything observed so far, where is this patient's SOFA likely to be a few hours from now” -- could in principle turn a retrospective severity score into an early-warning signal, without requiring any new measurement beyond what is already routinely collected.</w:t>
      </w:r>
    </w:p>
    <w:p>
      <w:pPr>
        <w:pStyle w:val="Heading2"/>
      </w:pPr>
      <w:r>
        <w:t>1.2 Dataset and a known structural limitation</w:t>
      </w:r>
    </w:p>
    <w:p>
      <w:r>
        <w:rPr>
          <w:b w:val="0"/>
          <w:i w:val="0"/>
        </w:rPr>
        <w:t>This project uses the PhysioNet/Computing in Cardiology Challenge 2012 dataset (Silva et al., 2012), Set A: 12,000 de-identified adult ICU stays of at least 48 hours, with irregularly-timed vitals and laboratory measurements but no admission calendar dates and, critically, no medication data of any kind. The SOFA cardiovascular sub-score is normally driven primarily by vasopressor/inotrope agent and dose; without that data, the cardiovascular sub-score computable from this dataset is capped at a binary 0 or 1 throughout the project (quantified separately in SOFA_modelling_approaches.docx). This is treated as a structural property of the data, stated up front, rather than an error to be engineered around -- no proxy or imputation is used to manufacture a cardiovascular score the data cannot actually support.</w:t>
      </w:r>
    </w:p>
    <w:p>
      <w:pPr>
        <w:pStyle w:val="Heading2"/>
      </w:pPr>
      <w:r>
        <w:t>1.3 Central question and hypotheses</w:t>
      </w:r>
    </w:p>
    <w:p>
      <w:r>
        <w:rPr>
          <w:b w:val="0"/>
          <w:i w:val="0"/>
        </w:rPr>
        <w:t>The central question this report is organised around: does short-horizon machine-learning forecasting of rolling SOFA add predictive information beyond simple persistence, and -- if so -- is that added value spread uniformly across the six organ axes, or concentrated in specific ones? This is framed as an incremental-value and attribution study: the contribution is not a new model architecture, but a quantification of where forecasting value beyond the obvious baseline exists in this problem, and where it does not. Four sub-hypotheses operationalise this question, each given an explicit supported / not supported verdict against the results in Section 3.8:</w:t>
      </w:r>
    </w:p>
    <w:p>
      <w:pPr>
        <w:pStyle w:val="ListNumber"/>
      </w:pPr>
      <w:r>
        <w:t>H1 -- machine learning adds predictive information beyond persistence for total SOFA, six hours ahead of four decision points (T = 24, 30, 36, 42 h into the ICU stay), using only data available strictly before each decision time.</w:t>
      </w:r>
    </w:p>
    <w:p>
      <w:pPr>
        <w:pStyle w:val="ListNumber"/>
      </w:pPr>
      <w:r>
        <w:t>H2 -- any such gain is heterogeneous across the six organ axes rather than uniformly distributed. Five model families are compared under an identical protocol specifically to test this and H3 together, rather than to declare a single “winning” model in isolation.</w:t>
      </w:r>
    </w:p>
    <w:p>
      <w:pPr>
        <w:pStyle w:val="ListNumber"/>
      </w:pPr>
      <w:r>
        <w:t>H3 -- model formulation beyond a plain linear baseline provides incremental predictive value, and the magnitude of that value depends on how the target is represented (delta from the current score vs. the absolute ordinal score directly), not simply on how non-linear or complex the base learner is.</w:t>
      </w:r>
    </w:p>
    <w:p>
      <w:pPr>
        <w:pStyle w:val="ListNumber"/>
      </w:pPr>
      <w:r>
        <w:t>H4 -- the same forecasting information usefully discriminates a secondary, clinically meaningful deterioration outcome (a ≥2-point SOFA rise within 24 hours), bridging the score-forecasting task to a binary risk-classification task, evaluated against an honest no-skill reference given the outcome's low (~4%) prevalence.</w:t>
      </w:r>
    </w:p>
    <w:p>
      <w:r>
        <w:rPr>
          <w:b w:val="0"/>
          <w:i w:val="0"/>
        </w:rPr>
        <w:t>Reporting follows the structure and rigour expected by the TRIPOD+AI guideline for prediction-model studies (Collins et al., 2024), documented in full in the companion checklist document -- noted here as a reporting-rigour property of this work, not as a scientific contribution in its own right.</w:t>
      </w:r>
    </w:p>
    <w:p>
      <w:r>
        <w:br w:type="page"/>
      </w:r>
    </w:p>
    <w:p>
      <w:pPr>
        <w:pStyle w:val="Heading1"/>
      </w:pPr>
      <w:r>
        <w:t>2. Methods</w:t>
      </w:r>
    </w:p>
    <w:p>
      <w:pPr>
        <w:pStyle w:val="Heading2"/>
      </w:pPr>
      <w:r>
        <w:t>2.1 Data source and participants</w:t>
      </w:r>
    </w:p>
    <w:p>
      <w:r>
        <w:rPr>
          <w:b w:val="0"/>
          <w:i w:val="0"/>
        </w:rPr>
        <w:t>PhysioNet/CinC Challenge 2012, Set A: 12,000 adult ICU stays, publicly available and de-identified. No other data source is used. The dataset's own inclusion rule (ICU stay length ≥ 48 hours) is the only eligibility criterion; all 12,000 records are used, with no further exclusions. Cohort characteristics are summarised in Table 1.</w:t>
      </w:r>
    </w:p>
    <w:tbl>
      <w:tblPr>
        <w:tblStyle w:val="LightGrid-Accent1"/>
        <w:tblW w:type="auto" w:w="0"/>
        <w:tblLook w:firstColumn="1" w:firstRow="1" w:lastColumn="0" w:lastRow="0" w:noHBand="0" w:noVBand="1" w:val="04A0"/>
      </w:tblPr>
      <w:tblGrid>
        <w:gridCol w:w="4320"/>
        <w:gridCol w:w="4320"/>
      </w:tblGrid>
      <w:tr>
        <w:tc>
          <w:tcPr>
            <w:tcW w:type="dxa" w:w="4320"/>
          </w:tcPr>
          <w:p>
            <w:r>
              <w:rPr>
                <w:b/>
              </w:rPr>
              <w:t>Characteristic</w:t>
            </w:r>
          </w:p>
        </w:tc>
        <w:tc>
          <w:tcPr>
            <w:tcW w:type="dxa" w:w="4320"/>
          </w:tcPr>
          <w:p>
            <w:r>
              <w:rPr>
                <w:b/>
              </w:rPr>
              <w:t>Value</w:t>
            </w:r>
          </w:p>
        </w:tc>
      </w:tr>
      <w:tr>
        <w:tc>
          <w:tcPr>
            <w:tcW w:type="dxa" w:w="4320"/>
          </w:tcPr>
          <w:p>
            <w:r>
              <w:t>N</w:t>
            </w:r>
          </w:p>
        </w:tc>
        <w:tc>
          <w:tcPr>
            <w:tcW w:type="dxa" w:w="4320"/>
          </w:tcPr>
          <w:p>
            <w:r>
              <w:t>12,000 stays</w:t>
            </w:r>
          </w:p>
        </w:tc>
      </w:tr>
      <w:tr>
        <w:tc>
          <w:tcPr>
            <w:tcW w:type="dxa" w:w="4320"/>
          </w:tcPr>
          <w:p>
            <w:r>
              <w:t>Age</w:t>
            </w:r>
          </w:p>
        </w:tc>
        <w:tc>
          <w:tcPr>
            <w:tcW w:type="dxa" w:w="4320"/>
          </w:tcPr>
          <w:p>
            <w:r>
              <w:t>median 67 (IQR 53-78)</w:t>
            </w:r>
          </w:p>
        </w:tc>
      </w:tr>
      <w:tr>
        <w:tc>
          <w:tcPr>
            <w:tcW w:type="dxa" w:w="4320"/>
          </w:tcPr>
          <w:p>
            <w:r>
              <w:t>Gender</w:t>
            </w:r>
          </w:p>
        </w:tc>
        <w:tc>
          <w:tcPr>
            <w:tcW w:type="dxa" w:w="4320"/>
          </w:tcPr>
          <w:p>
            <w:r>
              <w:t>56.1% male, 43.8% female</w:t>
            </w:r>
          </w:p>
        </w:tc>
      </w:tr>
      <w:tr>
        <w:tc>
          <w:tcPr>
            <w:tcW w:type="dxa" w:w="4320"/>
          </w:tcPr>
          <w:p>
            <w:r>
              <w:t>ICU type</w:t>
            </w:r>
          </w:p>
        </w:tc>
        <w:tc>
          <w:tcPr>
            <w:tcW w:type="dxa" w:w="4320"/>
          </w:tcPr>
          <w:p>
            <w:r>
              <w:t>CCU 1,769 (14.7%) / cardiac-surgery recovery 2,530 (21.1%) / medical 4,293 (35.8%) / surgical 3,408 (28.4%)</w:t>
            </w:r>
          </w:p>
        </w:tc>
      </w:tr>
      <w:tr>
        <w:tc>
          <w:tcPr>
            <w:tcW w:type="dxa" w:w="4320"/>
          </w:tcPr>
          <w:p>
            <w:r>
              <w:t>Length of stay</w:t>
            </w:r>
          </w:p>
        </w:tc>
        <w:tc>
          <w:tcPr>
            <w:tcW w:type="dxa" w:w="4320"/>
          </w:tcPr>
          <w:p>
            <w:r>
              <w:t>median 47.5 h at last observation (min 0, p5 46.3, max 48.0); 171 records end before 42 h, 83 before 36 h</w:t>
            </w:r>
          </w:p>
        </w:tc>
      </w:tr>
    </w:tbl>
    <w:p>
      <w:r>
        <w:rPr>
          <w:b w:val="0"/>
          <w:i/>
          <w:sz w:val="18"/>
        </w:rPr>
        <w:t>Table 1. Cohort characteristics, full dataset (N = 12,000).</w:t>
      </w:r>
    </w:p>
    <w:p>
      <w:pPr>
        <w:pStyle w:val="Heading2"/>
      </w:pPr>
      <w:r>
        <w:t>2.2 Outcome definition</w:t>
      </w:r>
    </w:p>
    <w:p>
      <w:r>
        <w:rPr>
          <w:b w:val="0"/>
          <w:i w:val="0"/>
        </w:rPr>
        <w:t>For each decision time T, the outcome is the six-axis SOFA total (and each per-axis sub-score) over the trailing 24-hour window [T−18, T+6) -- i.e., the score six hours ahead of T. A secondary binary outcome, deteriorate_24h, equals 1 when that score rises by ≥2 points versus SOFA_now, the score over the last fully-observed 24-hour window [T−24, T). Both outcomes are computed algorithmically by a fixed, version-controlled rule engine, reproducing the project's own SOFA-calculation audit exactly -- never taken from the dataset's own outcomes.csv, which reflects information (vasopressor doses) this project's feature set does not have access to, and is used only as an external reference at evaluation time, never as a training signal.</w:t>
      </w:r>
    </w:p>
    <w:p>
      <w:pPr>
        <w:pStyle w:val="Heading2"/>
      </w:pPr>
      <w:r>
        <w:t>2.3 Predictors</w:t>
      </w:r>
    </w:p>
    <w:p>
      <w:r>
        <w:rPr>
          <w:b w:val="0"/>
          <w:i w:val="0"/>
        </w:rPr>
        <w:t>All predictors are derived from measurements timestamped strictly before T (an expanding window: later decision times see more data). The feature set (407 columns) comprises: per-variable summary statistics (last/first/min/max/mean/std/count/hours-since-last/hours-of-coverage/12-hour slope) for 36 time-varying vitals and labs (360 columns); engineered hemodynamic/neurological/renal/respiratory signals (14 columns); the rule-based SOFA sub-scores computed from the project's own data on [0,24)h and [T−24,T)h (28 columns); and admission descriptors (5 columns). No predictor pre-selection is applied beyond excluding outcomes.csv entirely.</w:t>
      </w:r>
    </w:p>
    <w:p>
      <w:pPr>
        <w:pStyle w:val="Heading2"/>
      </w:pPr>
      <w:r>
        <w:t>2.4 Six-axis decomposition</w:t>
      </w:r>
    </w:p>
    <w:p>
      <w:r>
        <w:rPr>
          <w:b w:val="0"/>
          <w:i w:val="0"/>
        </w:rPr>
        <w:t>Rather than a single model predicting the total SOFA score directly, each of the six organ axes is modelled separately and the six predictions are summed. This was chosen over a monolithic total-score model for three reasons: (i) it allows per-axis error to be reported and interpreted separately, rather than hidden inside one opaque number -- which turns out to matter substantially here (Section 4.4); (ii) it isolates the cardiovascular axis's structural limitation (Section 1.2) to exactly one of six sub-models rather than letting it contaminate a single combined estimate; and (iii) each axis-specific model only needs to learn from the measurements relevant to that organ system.</w:t>
      </w:r>
    </w:p>
    <w:p>
      <w:pPr>
        <w:pStyle w:val="Heading2"/>
      </w:pPr>
      <w:r>
        <w:t>2.5 Missing data</w:t>
      </w:r>
    </w:p>
    <w:p>
      <w:r>
        <w:rPr>
          <w:b w:val="0"/>
          <w:i w:val="0"/>
        </w:rPr>
        <w:t>Two independent missingness mechanisms are handled differently, by design. Predictor missingness (a vital or lab never measured in the input window) is left as a missing value and passed to the tree-based families' native missing-value routing (HistGradientBoosting, CatBoost, LightGBM all route NaNs during tree splitting rather than imputing them); the linear family instead requires median imputation plus standardization, since Ridge/logistic regression have no native missing-value handling. Outcome missingness (an axis's target window has no measurement at all) is excluded from that axis's training and evaluation rows for every family -- never zero-filled -- so no model is taught that “unmeasured” means “score 0”. A lenient zero-fill convention is used only for the separately-reported aggregate total_SOFA figure, matching the project's original SOFA-calculation methodology, and is applied identically and after the fact to every family's predictions and to the persistence baseline (Section 2.9) so that comparison remains fair.</w:t>
      </w:r>
    </w:p>
    <w:p>
      <w:pPr>
        <w:pStyle w:val="Heading2"/>
      </w:pPr>
      <w:r>
        <w:t>2.6 Data partitioning</w:t>
      </w:r>
    </w:p>
    <w:p>
      <w:r>
        <w:rPr>
          <w:b w:val="0"/>
          <w:i w:val="0"/>
        </w:rPr>
        <w:t>Splitting is record-level (a stay's four horizon-rows never straddle a split boundary), stratified on a coarse SOFA-severity band crossed with in-hospital death, 70/15/15 train/validation/test, random seed 42, frozen. Table 2 confirms the split achieved close parity on severity, mortality, missingness, and ICU-type mix.</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Split</w:t>
            </w:r>
          </w:p>
        </w:tc>
        <w:tc>
          <w:tcPr>
            <w:tcW w:type="dxa" w:w="1080"/>
          </w:tcPr>
          <w:p>
            <w:r>
              <w:rPr>
                <w:b/>
              </w:rPr>
              <w:t>N (stays)</w:t>
            </w:r>
          </w:p>
        </w:tc>
        <w:tc>
          <w:tcPr>
            <w:tcW w:type="dxa" w:w="1080"/>
          </w:tcPr>
          <w:p>
            <w:r>
              <w:rPr>
                <w:b/>
              </w:rPr>
              <w:t>%</w:t>
            </w:r>
          </w:p>
        </w:tc>
        <w:tc>
          <w:tcPr>
            <w:tcW w:type="dxa" w:w="1080"/>
          </w:tcPr>
          <w:p>
            <w:r>
              <w:rPr>
                <w:b/>
              </w:rPr>
              <w:t>Mean SOFA</w:t>
            </w:r>
          </w:p>
        </w:tc>
        <w:tc>
          <w:tcPr>
            <w:tcW w:type="dxa" w:w="1080"/>
          </w:tcPr>
          <w:p>
            <w:r>
              <w:rPr>
                <w:b/>
              </w:rPr>
              <w:t>SOFA P25/P75</w:t>
            </w:r>
          </w:p>
        </w:tc>
        <w:tc>
          <w:tcPr>
            <w:tcW w:type="dxa" w:w="1080"/>
          </w:tcPr>
          <w:p>
            <w:r>
              <w:rPr>
                <w:b/>
              </w:rPr>
              <w:t>Death rate</w:t>
            </w:r>
          </w:p>
        </w:tc>
        <w:tc>
          <w:tcPr>
            <w:tcW w:type="dxa" w:w="1080"/>
          </w:tcPr>
          <w:p>
            <w:r>
              <w:rPr>
                <w:b/>
              </w:rPr>
              <w:t>SOFA-unscorable</w:t>
            </w:r>
          </w:p>
        </w:tc>
        <w:tc>
          <w:tcPr>
            <w:tcW w:type="dxa" w:w="1080"/>
          </w:tcPr>
          <w:p>
            <w:r>
              <w:rPr>
                <w:b/>
              </w:rPr>
              <w:t>ICU 1/2/3/4 (%)</w:t>
            </w:r>
          </w:p>
        </w:tc>
      </w:tr>
      <w:tr>
        <w:tc>
          <w:tcPr>
            <w:tcW w:type="dxa" w:w="1080"/>
          </w:tcPr>
          <w:p>
            <w:r>
              <w:t>train</w:t>
            </w:r>
          </w:p>
        </w:tc>
        <w:tc>
          <w:tcPr>
            <w:tcW w:type="dxa" w:w="1080"/>
          </w:tcPr>
          <w:p>
            <w:r>
              <w:t>8,400</w:t>
            </w:r>
          </w:p>
        </w:tc>
        <w:tc>
          <w:tcPr>
            <w:tcW w:type="dxa" w:w="1080"/>
          </w:tcPr>
          <w:p>
            <w:r>
              <w:t>70.0</w:t>
            </w:r>
          </w:p>
        </w:tc>
        <w:tc>
          <w:tcPr>
            <w:tcW w:type="dxa" w:w="1080"/>
          </w:tcPr>
          <w:p>
            <w:r>
              <w:t>6.66</w:t>
            </w:r>
          </w:p>
        </w:tc>
        <w:tc>
          <w:tcPr>
            <w:tcW w:type="dxa" w:w="1080"/>
          </w:tcPr>
          <w:p>
            <w:r>
              <w:t>3.0 / 9.0</w:t>
            </w:r>
          </w:p>
        </w:tc>
        <w:tc>
          <w:tcPr>
            <w:tcW w:type="dxa" w:w="1080"/>
          </w:tcPr>
          <w:p>
            <w:r>
              <w:t>0.142</w:t>
            </w:r>
          </w:p>
        </w:tc>
        <w:tc>
          <w:tcPr>
            <w:tcW w:type="dxa" w:w="1080"/>
          </w:tcPr>
          <w:p>
            <w:r>
              <w:t>282</w:t>
            </w:r>
          </w:p>
        </w:tc>
        <w:tc>
          <w:tcPr>
            <w:tcW w:type="dxa" w:w="1080"/>
          </w:tcPr>
          <w:p>
            <w:r>
              <w:t>14.6 / 21.1 / 35.8 / 28.5</w:t>
            </w:r>
          </w:p>
        </w:tc>
      </w:tr>
      <w:tr>
        <w:tc>
          <w:tcPr>
            <w:tcW w:type="dxa" w:w="1080"/>
          </w:tcPr>
          <w:p>
            <w:r>
              <w:t>validation</w:t>
            </w:r>
          </w:p>
        </w:tc>
        <w:tc>
          <w:tcPr>
            <w:tcW w:type="dxa" w:w="1080"/>
          </w:tcPr>
          <w:p>
            <w:r>
              <w:t>1,800</w:t>
            </w:r>
          </w:p>
        </w:tc>
        <w:tc>
          <w:tcPr>
            <w:tcW w:type="dxa" w:w="1080"/>
          </w:tcPr>
          <w:p>
            <w:r>
              <w:t>15.0</w:t>
            </w:r>
          </w:p>
        </w:tc>
        <w:tc>
          <w:tcPr>
            <w:tcW w:type="dxa" w:w="1080"/>
          </w:tcPr>
          <w:p>
            <w:r>
              <w:t>6.66</w:t>
            </w:r>
          </w:p>
        </w:tc>
        <w:tc>
          <w:tcPr>
            <w:tcW w:type="dxa" w:w="1080"/>
          </w:tcPr>
          <w:p>
            <w:r>
              <w:t>3.0 / 9.0</w:t>
            </w:r>
          </w:p>
        </w:tc>
        <w:tc>
          <w:tcPr>
            <w:tcW w:type="dxa" w:w="1080"/>
          </w:tcPr>
          <w:p>
            <w:r>
              <w:t>0.143</w:t>
            </w:r>
          </w:p>
        </w:tc>
        <w:tc>
          <w:tcPr>
            <w:tcW w:type="dxa" w:w="1080"/>
          </w:tcPr>
          <w:p>
            <w:r>
              <w:t>61</w:t>
            </w:r>
          </w:p>
        </w:tc>
        <w:tc>
          <w:tcPr>
            <w:tcW w:type="dxa" w:w="1080"/>
          </w:tcPr>
          <w:p>
            <w:r>
              <w:t>15.5 / 21.0 / 35.3 / 28.2</w:t>
            </w:r>
          </w:p>
        </w:tc>
      </w:tr>
      <w:tr>
        <w:tc>
          <w:tcPr>
            <w:tcW w:type="dxa" w:w="1080"/>
          </w:tcPr>
          <w:p>
            <w:r>
              <w:t>test</w:t>
            </w:r>
          </w:p>
        </w:tc>
        <w:tc>
          <w:tcPr>
            <w:tcW w:type="dxa" w:w="1080"/>
          </w:tcPr>
          <w:p>
            <w:r>
              <w:t>1,800</w:t>
            </w:r>
          </w:p>
        </w:tc>
        <w:tc>
          <w:tcPr>
            <w:tcW w:type="dxa" w:w="1080"/>
          </w:tcPr>
          <w:p>
            <w:r>
              <w:t>15.0</w:t>
            </w:r>
          </w:p>
        </w:tc>
        <w:tc>
          <w:tcPr>
            <w:tcW w:type="dxa" w:w="1080"/>
          </w:tcPr>
          <w:p>
            <w:r>
              <w:t>6.67</w:t>
            </w:r>
          </w:p>
        </w:tc>
        <w:tc>
          <w:tcPr>
            <w:tcW w:type="dxa" w:w="1080"/>
          </w:tcPr>
          <w:p>
            <w:r>
              <w:t>3.0 / 9.0</w:t>
            </w:r>
          </w:p>
        </w:tc>
        <w:tc>
          <w:tcPr>
            <w:tcW w:type="dxa" w:w="1080"/>
          </w:tcPr>
          <w:p>
            <w:r>
              <w:t>0.142</w:t>
            </w:r>
          </w:p>
        </w:tc>
        <w:tc>
          <w:tcPr>
            <w:tcW w:type="dxa" w:w="1080"/>
          </w:tcPr>
          <w:p>
            <w:r>
              <w:t>60</w:t>
            </w:r>
          </w:p>
        </w:tc>
        <w:tc>
          <w:tcPr>
            <w:tcW w:type="dxa" w:w="1080"/>
          </w:tcPr>
          <w:p>
            <w:r>
              <w:t>14.8 / 21.0 / 36.2 / 28.0</w:t>
            </w:r>
          </w:p>
        </w:tc>
      </w:tr>
    </w:tbl>
    <w:p>
      <w:r>
        <w:rPr>
          <w:b w:val="0"/>
          <w:i/>
          <w:sz w:val="18"/>
        </w:rPr>
        <w:t>Table 2. Split characteristics (record level, before any per-horizon row exclusions).</w:t>
      </w:r>
    </w:p>
    <w:p>
      <w:pPr>
        <w:pStyle w:val="Heading2"/>
      </w:pPr>
      <w:r>
        <w:t>2.7 Model development -- five families</w:t>
      </w:r>
    </w:p>
    <w:p>
      <w:r>
        <w:rPr>
          <w:b w:val="0"/>
          <w:i w:val="0"/>
        </w:rPr>
        <w:t>Five model families were compared head-to-head under an identical protocol, in priority order:</w:t>
      </w:r>
    </w:p>
    <w:p>
      <w:pPr>
        <w:pStyle w:val="ListBullet"/>
      </w:pPr>
      <w:r>
        <w:t>Ordinal (Frank &amp; Hall, 2001). Each axis score (0-4) is treated as an ordinal outcome via cumulative binary decomposition: four HistGradientBoostingClassifiers per axis, one per threshold k ∈ {0,1,2,3}, each predicting P(score &gt; k). The absolute score is reconstructed as E[score] = P(&gt;0) + P(&gt;1) + P(&gt;2) + P(&gt;3), which lands in [0,4] automatically with no clipping step, using the tail-sum identity for a bounded non-negative integer variable. Unlike the other four families, this predicts the absolute target score directly rather than a delta from the current score.</w:t>
      </w:r>
    </w:p>
    <w:p>
      <w:pPr>
        <w:pStyle w:val="ListBullet"/>
      </w:pPr>
      <w:r>
        <w:t>Linear. Median-impute + standardize, then Ridge regression (axis scores) or class-weighted logistic regression (deterioration), predicting the delta from SOFA_now. Included specifically to test whether the added complexity of the non-linear families is earning its keep.</w:t>
      </w:r>
    </w:p>
    <w:p>
      <w:pPr>
        <w:pStyle w:val="ListBullet"/>
      </w:pPr>
      <w:r>
        <w:t>HistGradientBoosting (primary family). Six pooled HistGradientBoostingRegressors, one per axis, trained on all four horizons pooled together with the decision time as an ordinary feature, predicting the delta from SOFA_now; one pooled HistGradientBoostingClassifier for deterioration. Chosen as the primary family for native missing-value handling with no extra dependency.</w:t>
      </w:r>
    </w:p>
    <w:p>
      <w:pPr>
        <w:pStyle w:val="ListBullet"/>
      </w:pPr>
      <w:r>
        <w:t>CatBoost. Same delta-target design as HistGradientBoosting, with native categorical handling for ICU type/gender/decision-time and ordered boosting, intended to reduce overfitting on the smaller axes (e.g. liver, with the fewest measured training rows).</w:t>
      </w:r>
    </w:p>
    <w:p>
      <w:pPr>
        <w:pStyle w:val="ListBullet"/>
      </w:pPr>
      <w:r>
        <w:t>LightGBM. Same delta-target design, with leaf-wise (best-first) tree growth as a structurally different bias from HistGradientBoosting's and CatBoost's more level-wise growth.</w:t>
      </w:r>
    </w:p>
    <w:p>
      <w:r>
        <w:rPr>
          <w:b w:val="0"/>
          <w:i w:val="0"/>
        </w:rPr>
        <w:t>Every family used the same small, fixed hyperparameter grid (Table 3), each point fit on the training split and scored on the untouched external validation split -- never a library's internal early-stopping, which would silently carve validation rows out of training. Regressors were selected by validation MAE; classifiers by validation AUPRC, which is the more informative metric under this outcome's ~4% prevalence (Saito &amp; Rehmsmeier, 2015).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Family</w:t>
            </w:r>
          </w:p>
        </w:tc>
        <w:tc>
          <w:tcPr>
            <w:tcW w:type="dxa" w:w="2160"/>
          </w:tcPr>
          <w:p>
            <w:r>
              <w:rPr>
                <w:b/>
              </w:rPr>
              <w:t>Hyperparameters varied</w:t>
            </w:r>
          </w:p>
        </w:tc>
        <w:tc>
          <w:tcPr>
            <w:tcW w:type="dxa" w:w="2160"/>
          </w:tcPr>
          <w:p>
            <w:r>
              <w:rPr>
                <w:b/>
              </w:rPr>
              <w:t>Fixed</w:t>
            </w:r>
          </w:p>
        </w:tc>
        <w:tc>
          <w:tcPr>
            <w:tcW w:type="dxa" w:w="2160"/>
          </w:tcPr>
          <w:p>
            <w:r>
              <w:rPr>
                <w:b/>
              </w:rPr>
              <w:t>Selection metric</w:t>
            </w:r>
          </w:p>
        </w:tc>
      </w:tr>
      <w:tr>
        <w:tc>
          <w:tcPr>
            <w:tcW w:type="dxa" w:w="2160"/>
          </w:tcPr>
          <w:p>
            <w:r>
              <w:t>Ordinal</w:t>
            </w:r>
          </w:p>
        </w:tc>
        <w:tc>
          <w:tcPr>
            <w:tcW w:type="dxa" w:w="2160"/>
          </w:tcPr>
          <w:p>
            <w:r>
              <w:t>learning_rate {0.05, 0.10} x max_leaf_nodes {31, 63}</w:t>
            </w:r>
          </w:p>
        </w:tc>
        <w:tc>
          <w:tcPr>
            <w:tcW w:type="dxa" w:w="2160"/>
          </w:tcPr>
          <w:p>
            <w:r>
              <w:t>max_iter=300</w:t>
            </w:r>
          </w:p>
        </w:tc>
        <w:tc>
          <w:tcPr>
            <w:tcW w:type="dxa" w:w="2160"/>
          </w:tcPr>
          <w:p>
            <w:r>
              <w:t>validation AUROC (per threshold)</w:t>
            </w:r>
          </w:p>
        </w:tc>
      </w:tr>
      <w:tr>
        <w:tc>
          <w:tcPr>
            <w:tcW w:type="dxa" w:w="2160"/>
          </w:tcPr>
          <w:p>
            <w:r>
              <w:t>Linear (regressor)</w:t>
            </w:r>
          </w:p>
        </w:tc>
        <w:tc>
          <w:tcPr>
            <w:tcW w:type="dxa" w:w="2160"/>
          </w:tcPr>
          <w:p>
            <w:r>
              <w:t>alpha {0.1, 1.0, 10.0}</w:t>
            </w:r>
          </w:p>
        </w:tc>
        <w:tc>
          <w:tcPr>
            <w:tcW w:type="dxa" w:w="2160"/>
          </w:tcPr>
          <w:p>
            <w:r>
              <w:t>—</w:t>
            </w:r>
          </w:p>
        </w:tc>
        <w:tc>
          <w:tcPr>
            <w:tcW w:type="dxa" w:w="2160"/>
          </w:tcPr>
          <w:p>
            <w:r>
              <w:t>validation MAE</w:t>
            </w:r>
          </w:p>
        </w:tc>
      </w:tr>
      <w:tr>
        <w:tc>
          <w:tcPr>
            <w:tcW w:type="dxa" w:w="2160"/>
          </w:tcPr>
          <w:p>
            <w:r>
              <w:t>Linear (classifier)</w:t>
            </w:r>
          </w:p>
        </w:tc>
        <w:tc>
          <w:tcPr>
            <w:tcW w:type="dxa" w:w="2160"/>
          </w:tcPr>
          <w:p>
            <w:r>
              <w:t>C {0.1, 1.0, 10.0}</w:t>
            </w:r>
          </w:p>
        </w:tc>
        <w:tc>
          <w:tcPr>
            <w:tcW w:type="dxa" w:w="2160"/>
          </w:tcPr>
          <w:p>
            <w:r>
              <w:t>class_weight=balanced</w:t>
            </w:r>
          </w:p>
        </w:tc>
        <w:tc>
          <w:tcPr>
            <w:tcW w:type="dxa" w:w="2160"/>
          </w:tcPr>
          <w:p>
            <w:r>
              <w:t>validation AUPRC</w:t>
            </w:r>
          </w:p>
        </w:tc>
      </w:tr>
      <w:tr>
        <w:tc>
          <w:tcPr>
            <w:tcW w:type="dxa" w:w="2160"/>
          </w:tcPr>
          <w:p>
            <w:r>
              <w:t>HistGradientBoosting</w:t>
            </w:r>
          </w:p>
        </w:tc>
        <w:tc>
          <w:tcPr>
            <w:tcW w:type="dxa" w:w="2160"/>
          </w:tcPr>
          <w:p>
            <w:r>
              <w:t>learning_rate {0.05, 0.10} x max_leaf_nodes {31, 63}</w:t>
            </w:r>
          </w:p>
        </w:tc>
        <w:tc>
          <w:tcPr>
            <w:tcW w:type="dxa" w:w="2160"/>
          </w:tcPr>
          <w:p>
            <w:r>
              <w:t>max_iter=300</w:t>
            </w:r>
          </w:p>
        </w:tc>
        <w:tc>
          <w:tcPr>
            <w:tcW w:type="dxa" w:w="2160"/>
          </w:tcPr>
          <w:p>
            <w:r>
              <w:t>MAE (regressor) / AUPRC (classifier)</w:t>
            </w:r>
          </w:p>
        </w:tc>
      </w:tr>
      <w:tr>
        <w:tc>
          <w:tcPr>
            <w:tcW w:type="dxa" w:w="2160"/>
          </w:tcPr>
          <w:p>
            <w:r>
              <w:t>CatBoost</w:t>
            </w:r>
          </w:p>
        </w:tc>
        <w:tc>
          <w:tcPr>
            <w:tcW w:type="dxa" w:w="2160"/>
          </w:tcPr>
          <w:p>
            <w:r>
              <w:t>learning_rate {0.05, 0.10} x depth {4, 6}</w:t>
            </w:r>
          </w:p>
        </w:tc>
        <w:tc>
          <w:tcPr>
            <w:tcW w:type="dxa" w:w="2160"/>
          </w:tcPr>
          <w:p>
            <w:r>
              <w:t>iterations=300</w:t>
            </w:r>
          </w:p>
        </w:tc>
        <w:tc>
          <w:tcPr>
            <w:tcW w:type="dxa" w:w="2160"/>
          </w:tcPr>
          <w:p>
            <w:r>
              <w:t>validation MAE</w:t>
            </w:r>
          </w:p>
        </w:tc>
      </w:tr>
      <w:tr>
        <w:tc>
          <w:tcPr>
            <w:tcW w:type="dxa" w:w="2160"/>
          </w:tcPr>
          <w:p>
            <w:r>
              <w:t>LightGBM</w:t>
            </w:r>
          </w:p>
        </w:tc>
        <w:tc>
          <w:tcPr>
            <w:tcW w:type="dxa" w:w="2160"/>
          </w:tcPr>
          <w:p>
            <w:r>
              <w:t>learning_rate {0.05, 0.10} x num_leaves {31, 63}</w:t>
            </w:r>
          </w:p>
        </w:tc>
        <w:tc>
          <w:tcPr>
            <w:tcW w:type="dxa" w:w="2160"/>
          </w:tcPr>
          <w:p>
            <w:r>
              <w:t>n_estimators=300</w:t>
            </w:r>
          </w:p>
        </w:tc>
        <w:tc>
          <w:tcPr>
            <w:tcW w:type="dxa" w:w="2160"/>
          </w:tcPr>
          <w:p>
            <w:r>
              <w:t>validation MAE</w:t>
            </w:r>
          </w:p>
        </w:tc>
      </w:tr>
    </w:tbl>
    <w:p>
      <w:r>
        <w:rPr>
          <w:b w:val="0"/>
          <w:i/>
          <w:sz w:val="18"/>
        </w:rPr>
        <w:t>Table 3. Hyperparameter grids (4 configurations per family; every point's validation score is retained in modeling/outputs/model_spec.json).</w:t>
      </w:r>
    </w:p>
    <w:p>
      <w:pPr>
        <w:pStyle w:val="Heading2"/>
      </w:pPr>
      <w:r>
        <w:t>2.8 Evaluation</w:t>
      </w:r>
    </w:p>
    <w:p>
      <w:r>
        <w:rPr>
          <w:b w:val="0"/>
          <w:i w:val="0"/>
        </w:rPr>
        <w:t>Regression performance (total and per-axis SOFA) is reported as mean absolute error (MAE) and RMSE with 1,000-resample bootstrap 95% confidence intervals, against a persistence baseline (SOFA_hat(T+6) = SOFA_now) -- any model whose confidence interval does not clear persistence is not adding forecast value. Classification performance (deterioration) is reported as AUROC, AUPRC, and Brier score with bootstrap confidence intervals, against a no-skill reference computed analytically from the outcome's prevalence: a non-informative classifier's AUROC is always 0.5, but its AUPRC equals the prevalence, not 0.5 (Saito &amp; Rehmsmeier, 2015) -- material at this outcome's ~4% base rate. Calibration is assessed separately via a ten-bin reliability table (mean predicted probability vs. observed event rate per bin). A subgroup breakdown by hemodynamic-instability status (minimum MAP &lt; 65 mmHg in the input window) is reported for the primary family. Permutation importance (n_repeats=3, on a fixed 2,000-row validation subsample) is used to interpret the primary family's feature usage. The test split is unlocked exactly once, after model selection is finalised on validation.</w:t>
      </w:r>
    </w:p>
    <w:p>
      <w:pPr>
        <w:pStyle w:val="Heading2"/>
      </w:pPr>
      <w:r>
        <w:t>2.9 Implementation verification</w:t>
      </w:r>
    </w:p>
    <w:p>
      <w:r>
        <w:rPr>
          <w:b w:val="0"/>
          <w:i w:val="0"/>
        </w:rPr>
        <w:t>Two defects were found only once the full pipeline was actually executed on real hardware, rather than by code review alone, and are reported here rather than silently patched, in keeping with this report's own standard of transparency:</w:t>
      </w:r>
    </w:p>
    <w:p>
      <w:pPr>
        <w:pStyle w:val="ListBullet"/>
      </w:pPr>
      <w:r>
        <w:t>A CatBoost-specific defect: CatBoost's categorical-feature handling rejects columns typed as float64 with NaN values, even for clean small-integer codes (e.g. the decision-time feature, 24.0); resolved by casting categorical columns to string with an explicit missing-value sentinel, applied identically at both fit and prediction time.</w:t>
      </w:r>
    </w:p>
    <w:p>
      <w:pPr>
        <w:pStyle w:val="ListBullet"/>
      </w:pPr>
      <w:r>
        <w:t>A cross-family evaluation-fairness defect: the four delta-based families' predictions silently propagated NaN whenever a patient's current-state score for an axis (SOFA_now for that axis) was missing -- between 0.9% and 60% of rows, depending on the axis -- which restricted their evaluation to only the ~22% of rows where all six axes were simultaneously measured. The ordinal family and the persistence baseline, which never produce NaN, were still being scored on the full, harder population. This made the delta-based families look better than they should have (an easier subset) and made the ordinal family look worse than persistence on an apples-to-oranges comparison. The fix applies a uniform rule to every family: fall back to a score of 0 for an axis whenever its current-state score is missing, mirroring the same lenient convention already used for the aggregate total-SOFA figure, so every family and the persistence baseline are compared on an identical population throughout this report.</w:t>
      </w:r>
    </w:p>
    <w:p>
      <w:pPr>
        <w:pStyle w:val="Heading2"/>
      </w:pPr>
      <w:r>
        <w:t>2.10 Absolute-vs-delta ablation</w:t>
      </w:r>
    </w:p>
    <w:p>
      <w:r>
        <w:rPr>
          <w:b w:val="0"/>
          <w:i w:val="0"/>
        </w:rPr>
        <w:t>Ordinal is the only one of the five headline families that predicts the absolute target-window score directly; histgb, linear, catboost, and lightgbm all predict a delta from SOFA_now and reconstruct. This leaves a genuine confound in Section 3.2's headline comparison: ordinal's lowest MAE could reflect its cumulative-binary decomposition, or it could simply reflect that predicting the absolute target outperforms predicting a delta for this task -- two different claims that comparison alone cannot separate, since ordinal is the only family varying both the formulation and the target representation at once. To isolate them, a control model (histgb_absolute) was trained: identical base learner (HistGradientBoostingRegressor), identical grid and selection protocol as the primary histgb family (Table 3), with the ONLY change being the target column -- the absolute score, f"{axis}_score", instead of the delta, f"{axis}_delta". Comparing histgb+delta vs. histgb+absolute vs. ordinal+absolute holds the base learner fixed while varying target representation, and holds the target representation fixed (absolute) while varying formulation (plain regression vs. ordinal decomposition) -- separating the two effects the headline comparison alone conflates. The same has_now fallback-to-0 gate (Section 2.9) is applied so this ablation is scored on the identical population as every other family. Delta-specific accuracy (predicted vs. observed six-hour change, independent of reconstruction) is reported alongside it, to directly address the concern that a model beating persistence on the absolute score could still just be exploiting how little change typically occurs, rather than tracking genuine trajectory information.</w:t>
      </w:r>
    </w:p>
    <w:p>
      <w:pPr>
        <w:pStyle w:val="Heading2"/>
      </w:pPr>
      <w:r>
        <w:t>2.11 Target volatility, score degeneracy, and risk-stratification value</w:t>
      </w:r>
    </w:p>
    <w:p>
      <w:r>
        <w:rPr>
          <w:b w:val="0"/>
          <w:i w:val="0"/>
        </w:rPr>
        <w:t>Three further analyses address, directly and with real data, questions a reader would reasonably ask before accepting the axis-heterogeneity finding (Section 3.3) at face value: why does persistence win for five of six axes, is the cardiovascular axis's missing vasopressor data specifically responsible, and -- independent of any mechanism -- what is this actually good for? All three reuse already-computed artefacts; none require retraining.</w:t>
      </w:r>
    </w:p>
    <w:p>
      <w:pPr>
        <w:pStyle w:val="ListBullet"/>
      </w:pPr>
      <w:r>
        <w:t>Target volatility (Section 3.8). For each axis, using every measured row in `targets.csv` (pooled across splits and horizons -- this describes a fixed property of the outcome variable itself, not a model, so pooling is appropriate and does not risk any train/test leakage), the true six-hour change (`{axis}_delta`) is summarised by: the fraction of rows with exactly zero change, the mean absolute change, and its standard deviation. This measures how much there is to forecast at all, directly and on the outcome side -- a more decisive test than the model-side evidence (permutation importance) the previous draft relied on.</w:t>
      </w:r>
    </w:p>
    <w:p>
      <w:pPr>
        <w:pStyle w:val="ListBullet"/>
      </w:pPr>
      <w:r>
        <w:t>Cardiovascular score degeneracy (Section 3.9). The full value distribution of the cardiovascular score (not just its delta) is compared against renal's -- another axis that loses to persistence, but is not subject to a missing-data cap -- to test whether the two axes fail for the same reason or different ones.</w:t>
      </w:r>
    </w:p>
    <w:p>
      <w:pPr>
        <w:pStyle w:val="ListBullet"/>
      </w:pPr>
      <w:r>
        <w:t>Risk-stratification value (Section 3.10). The primary family's deterioration classifier is used to rank all test-split rows by predicted probability; for the top 5%, 10%, and 20% of rows by that ranking, the fraction of true deterioration events falling inside that slice (capture rate) is computed, together with the lift over flagging the same number of rows at random (`evaluate.capture_rate_report`, new). This translates AUROC/AUPRC into a concrete, intuitive statement of practical value.</w:t>
      </w:r>
    </w:p>
    <w:p>
      <w:r>
        <w:br w:type="page"/>
      </w:r>
    </w:p>
    <w:p>
      <w:pPr>
        <w:pStyle w:val="Heading1"/>
      </w:pPr>
      <w:r>
        <w:t>3. Results</w:t>
      </w:r>
    </w:p>
    <w:p>
      <w:pPr>
        <w:pStyle w:val="Heading2"/>
      </w:pPr>
      <w:r>
        <w:t>3.1 Baseline and no-skill reference values</w:t>
      </w:r>
    </w:p>
    <w:p>
      <w:r>
        <w:rPr>
          <w:b w:val="0"/>
          <w:i w:val="0"/>
        </w:rPr>
        <w:t>Table 4 gives the reference values every trained model must clear. On the test split, the persistence baseline's total-SOFA MAE ranges from 0.59 (h42) to 0.96 (h24) -- decreasing with horizon, since a smaller fraction of the target window is still unobserved at later decision times. The deterioration outcome's prevalence is 3.9% (validation) and 4.5% (test); a non-informative classifier's AUPRC therefore sits at those values, not at 0, and its AUROC is 0.5 by definition regardless of prevalence.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Horizon</w:t>
            </w:r>
          </w:p>
        </w:tc>
        <w:tc>
          <w:tcPr>
            <w:tcW w:type="dxa" w:w="4320"/>
          </w:tcPr>
          <w:p>
            <w:r>
              <w:rPr>
                <w:b/>
              </w:rPr>
              <w:t>Persistence MAE (test, 95% CI)</w:t>
            </w:r>
          </w:p>
        </w:tc>
      </w:tr>
      <w:tr>
        <w:tc>
          <w:tcPr>
            <w:tcW w:type="dxa" w:w="4320"/>
          </w:tcPr>
          <w:p>
            <w:r>
              <w:t>T = 24 h</w:t>
            </w:r>
          </w:p>
        </w:tc>
        <w:tc>
          <w:tcPr>
            <w:tcW w:type="dxa" w:w="4320"/>
          </w:tcPr>
          <w:p>
            <w:r>
              <w:t>0.957 (0.890, 1.018)</w:t>
            </w:r>
          </w:p>
        </w:tc>
      </w:tr>
      <w:tr>
        <w:tc>
          <w:tcPr>
            <w:tcW w:type="dxa" w:w="4320"/>
          </w:tcPr>
          <w:p>
            <w:r>
              <w:t>T = 30 h</w:t>
            </w:r>
          </w:p>
        </w:tc>
        <w:tc>
          <w:tcPr>
            <w:tcW w:type="dxa" w:w="4320"/>
          </w:tcPr>
          <w:p>
            <w:r>
              <w:t>0.706 (0.660, 0.753)</w:t>
            </w:r>
          </w:p>
        </w:tc>
      </w:tr>
      <w:tr>
        <w:tc>
          <w:tcPr>
            <w:tcW w:type="dxa" w:w="4320"/>
          </w:tcPr>
          <w:p>
            <w:r>
              <w:t>T = 36 h</w:t>
            </w:r>
          </w:p>
        </w:tc>
        <w:tc>
          <w:tcPr>
            <w:tcW w:type="dxa" w:w="4320"/>
          </w:tcPr>
          <w:p>
            <w:r>
              <w:t>0.645 (0.597, 0.694)</w:t>
            </w:r>
          </w:p>
        </w:tc>
      </w:tr>
      <w:tr>
        <w:tc>
          <w:tcPr>
            <w:tcW w:type="dxa" w:w="4320"/>
          </w:tcPr>
          <w:p>
            <w:r>
              <w:t>T = 42 h</w:t>
            </w:r>
          </w:p>
        </w:tc>
        <w:tc>
          <w:tcPr>
            <w:tcW w:type="dxa" w:w="4320"/>
          </w:tcPr>
          <w:p>
            <w:r>
              <w:t>0.594 (0.542, 0.644)</w:t>
            </w:r>
          </w:p>
        </w:tc>
      </w:tr>
    </w:tbl>
    <w:p>
      <w:r>
        <w:rPr>
          <w:b w:val="0"/>
          <w:i/>
          <w:sz w:val="18"/>
        </w:rPr>
        <w:t>Table 4a. Persistence baseline, total-SOFA MAE, test split.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Split</w:t>
            </w:r>
          </w:p>
        </w:tc>
        <w:tc>
          <w:tcPr>
            <w:tcW w:type="dxa" w:w="1728"/>
          </w:tcPr>
          <w:p>
            <w:r>
              <w:rPr>
                <w:b/>
              </w:rPr>
              <w:t>N</w:t>
            </w:r>
          </w:p>
        </w:tc>
        <w:tc>
          <w:tcPr>
            <w:tcW w:type="dxa" w:w="1728"/>
          </w:tcPr>
          <w:p>
            <w:r>
              <w:rPr>
                <w:b/>
              </w:rPr>
              <w:t>Prevalence (= no-skill AUPRC)</w:t>
            </w:r>
          </w:p>
        </w:tc>
        <w:tc>
          <w:tcPr>
            <w:tcW w:type="dxa" w:w="1728"/>
          </w:tcPr>
          <w:p>
            <w:r>
              <w:rPr>
                <w:b/>
              </w:rPr>
              <w:t>No-skill AUROC</w:t>
            </w:r>
          </w:p>
        </w:tc>
        <w:tc>
          <w:tcPr>
            <w:tcW w:type="dxa" w:w="1728"/>
          </w:tcPr>
          <w:p>
            <w:r>
              <w:rPr>
                <w:b/>
              </w:rPr>
              <w:t>No-skill Brier</w:t>
            </w:r>
          </w:p>
        </w:tc>
      </w:tr>
      <w:tr>
        <w:tc>
          <w:tcPr>
            <w:tcW w:type="dxa" w:w="1728"/>
          </w:tcPr>
          <w:p>
            <w:r>
              <w:t>validation</w:t>
            </w:r>
          </w:p>
        </w:tc>
        <w:tc>
          <w:tcPr>
            <w:tcW w:type="dxa" w:w="1728"/>
          </w:tcPr>
          <w:p>
            <w:r>
              <w:t>7,179</w:t>
            </w:r>
          </w:p>
        </w:tc>
        <w:tc>
          <w:tcPr>
            <w:tcW w:type="dxa" w:w="1728"/>
          </w:tcPr>
          <w:p>
            <w:r>
              <w:t>0.0386</w:t>
            </w:r>
          </w:p>
        </w:tc>
        <w:tc>
          <w:tcPr>
            <w:tcW w:type="dxa" w:w="1728"/>
          </w:tcPr>
          <w:p>
            <w:r>
              <w:t>0.500</w:t>
            </w:r>
          </w:p>
        </w:tc>
        <w:tc>
          <w:tcPr>
            <w:tcW w:type="dxa" w:w="1728"/>
          </w:tcPr>
          <w:p>
            <w:r>
              <w:t>0.0371</w:t>
            </w:r>
          </w:p>
        </w:tc>
      </w:tr>
      <w:tr>
        <w:tc>
          <w:tcPr>
            <w:tcW w:type="dxa" w:w="1728"/>
          </w:tcPr>
          <w:p>
            <w:r>
              <w:t>test</w:t>
            </w:r>
          </w:p>
        </w:tc>
        <w:tc>
          <w:tcPr>
            <w:tcW w:type="dxa" w:w="1728"/>
          </w:tcPr>
          <w:p>
            <w:r>
              <w:t>7,187</w:t>
            </w:r>
          </w:p>
        </w:tc>
        <w:tc>
          <w:tcPr>
            <w:tcW w:type="dxa" w:w="1728"/>
          </w:tcPr>
          <w:p>
            <w:r>
              <w:t>0.0451</w:t>
            </w:r>
          </w:p>
        </w:tc>
        <w:tc>
          <w:tcPr>
            <w:tcW w:type="dxa" w:w="1728"/>
          </w:tcPr>
          <w:p>
            <w:r>
              <w:t>0.500</w:t>
            </w:r>
          </w:p>
        </w:tc>
        <w:tc>
          <w:tcPr>
            <w:tcW w:type="dxa" w:w="1728"/>
          </w:tcPr>
          <w:p>
            <w:r>
              <w:t>0.0430</w:t>
            </w:r>
          </w:p>
        </w:tc>
      </w:tr>
    </w:tbl>
    <w:p>
      <w:r>
        <w:rPr>
          <w:b w:val="0"/>
          <w:i/>
          <w:sz w:val="18"/>
        </w:rPr>
        <w:t>Table 4b. No-skill reference values, deterioration classifier.</w:t>
      </w:r>
    </w:p>
    <w:p>
      <w:pPr>
        <w:pStyle w:val="Heading2"/>
      </w:pPr>
      <w:r>
        <w:t>3.2 Total-SOFA forecast performance</w:t>
      </w:r>
    </w:p>
    <w:p>
      <w:r>
        <w:rPr>
          <w:b w:val="0"/>
          <w:i w:val="0"/>
        </w:rPr>
        <w:t>Table 5 reports total-SOFA MAE on the held-out test split for every family at every horizon. Four of the five families beat persistence at all four horizons; the ordinal family has the lowest MAE at every horizon. The linear baseline beats persistence only at h24 and is worse than persistence at h30/h36/h42 -- the one family that fails the project's own success criterion past the first horizon. Validation-split results (not reproduced in full here; see the notebook, Section 11) show the identical ranking, indicating the family comparison is not an artefact of overfitting to the test split during selection.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Horizon</w:t>
            </w:r>
          </w:p>
        </w:tc>
        <w:tc>
          <w:tcPr>
            <w:tcW w:type="dxa" w:w="1234"/>
          </w:tcPr>
          <w:p>
            <w:r>
              <w:rPr>
                <w:b/>
              </w:rPr>
              <w:t>Persistence</w:t>
            </w:r>
          </w:p>
        </w:tc>
        <w:tc>
          <w:tcPr>
            <w:tcW w:type="dxa" w:w="1234"/>
          </w:tcPr>
          <w:p>
            <w:r>
              <w:rPr>
                <w:b/>
              </w:rPr>
              <w:t>Ordinal</w:t>
            </w:r>
          </w:p>
        </w:tc>
        <w:tc>
          <w:tcPr>
            <w:tcW w:type="dxa" w:w="1234"/>
          </w:tcPr>
          <w:p>
            <w:r>
              <w:rPr>
                <w:b/>
              </w:rPr>
              <w:t>Linear</w:t>
            </w:r>
          </w:p>
        </w:tc>
        <w:tc>
          <w:tcPr>
            <w:tcW w:type="dxa" w:w="1234"/>
          </w:tcPr>
          <w:p>
            <w:r>
              <w:rPr>
                <w:b/>
              </w:rPr>
              <w:t>HistGB</w:t>
            </w:r>
          </w:p>
        </w:tc>
        <w:tc>
          <w:tcPr>
            <w:tcW w:type="dxa" w:w="1234"/>
          </w:tcPr>
          <w:p>
            <w:r>
              <w:rPr>
                <w:b/>
              </w:rPr>
              <w:t>CatBoost</w:t>
            </w:r>
          </w:p>
        </w:tc>
        <w:tc>
          <w:tcPr>
            <w:tcW w:type="dxa" w:w="1234"/>
          </w:tcPr>
          <w:p>
            <w:r>
              <w:rPr>
                <w:b/>
              </w:rPr>
              <w:t>LightGBM</w:t>
            </w:r>
          </w:p>
        </w:tc>
      </w:tr>
      <w:tr>
        <w:tc>
          <w:tcPr>
            <w:tcW w:type="dxa" w:w="1234"/>
          </w:tcPr>
          <w:p>
            <w:r>
              <w:t>T = 24 h</w:t>
            </w:r>
          </w:p>
        </w:tc>
        <w:tc>
          <w:tcPr>
            <w:tcW w:type="dxa" w:w="1234"/>
          </w:tcPr>
          <w:p>
            <w:r>
              <w:t>0.957</w:t>
            </w:r>
          </w:p>
        </w:tc>
        <w:tc>
          <w:tcPr>
            <w:tcW w:type="dxa" w:w="1234"/>
          </w:tcPr>
          <w:p>
            <w:r>
              <w:t>0.629</w:t>
            </w:r>
          </w:p>
        </w:tc>
        <w:tc>
          <w:tcPr>
            <w:tcW w:type="dxa" w:w="1234"/>
          </w:tcPr>
          <w:p>
            <w:r>
              <w:t>0.798</w:t>
            </w:r>
          </w:p>
        </w:tc>
        <w:tc>
          <w:tcPr>
            <w:tcW w:type="dxa" w:w="1234"/>
          </w:tcPr>
          <w:p>
            <w:r>
              <w:t>0.651</w:t>
            </w:r>
          </w:p>
        </w:tc>
        <w:tc>
          <w:tcPr>
            <w:tcW w:type="dxa" w:w="1234"/>
          </w:tcPr>
          <w:p>
            <w:r>
              <w:t>0.677</w:t>
            </w:r>
          </w:p>
        </w:tc>
        <w:tc>
          <w:tcPr>
            <w:tcW w:type="dxa" w:w="1234"/>
          </w:tcPr>
          <w:p>
            <w:r>
              <w:t>0.649</w:t>
            </w:r>
          </w:p>
        </w:tc>
      </w:tr>
      <w:tr>
        <w:tc>
          <w:tcPr>
            <w:tcW w:type="dxa" w:w="1234"/>
          </w:tcPr>
          <w:p>
            <w:r>
              <w:t>T = 30 h</w:t>
            </w:r>
          </w:p>
        </w:tc>
        <w:tc>
          <w:tcPr>
            <w:tcW w:type="dxa" w:w="1234"/>
          </w:tcPr>
          <w:p>
            <w:r>
              <w:t>0.706</w:t>
            </w:r>
          </w:p>
        </w:tc>
        <w:tc>
          <w:tcPr>
            <w:tcW w:type="dxa" w:w="1234"/>
          </w:tcPr>
          <w:p>
            <w:r>
              <w:t>0.601</w:t>
            </w:r>
          </w:p>
        </w:tc>
        <w:tc>
          <w:tcPr>
            <w:tcW w:type="dxa" w:w="1234"/>
          </w:tcPr>
          <w:p>
            <w:r>
              <w:t>0.728</w:t>
            </w:r>
          </w:p>
        </w:tc>
        <w:tc>
          <w:tcPr>
            <w:tcW w:type="dxa" w:w="1234"/>
          </w:tcPr>
          <w:p>
            <w:r>
              <w:t>0.619</w:t>
            </w:r>
          </w:p>
        </w:tc>
        <w:tc>
          <w:tcPr>
            <w:tcW w:type="dxa" w:w="1234"/>
          </w:tcPr>
          <w:p>
            <w:r>
              <w:t>0.635</w:t>
            </w:r>
          </w:p>
        </w:tc>
        <w:tc>
          <w:tcPr>
            <w:tcW w:type="dxa" w:w="1234"/>
          </w:tcPr>
          <w:p>
            <w:r>
              <w:t>0.626</w:t>
            </w:r>
          </w:p>
        </w:tc>
      </w:tr>
      <w:tr>
        <w:tc>
          <w:tcPr>
            <w:tcW w:type="dxa" w:w="1234"/>
          </w:tcPr>
          <w:p>
            <w:r>
              <w:t>T = 36 h</w:t>
            </w:r>
          </w:p>
        </w:tc>
        <w:tc>
          <w:tcPr>
            <w:tcW w:type="dxa" w:w="1234"/>
          </w:tcPr>
          <w:p>
            <w:r>
              <w:t>0.645</w:t>
            </w:r>
          </w:p>
        </w:tc>
        <w:tc>
          <w:tcPr>
            <w:tcW w:type="dxa" w:w="1234"/>
          </w:tcPr>
          <w:p>
            <w:r>
              <w:t>0.597</w:t>
            </w:r>
          </w:p>
        </w:tc>
        <w:tc>
          <w:tcPr>
            <w:tcW w:type="dxa" w:w="1234"/>
          </w:tcPr>
          <w:p>
            <w:r>
              <w:t>0.722</w:t>
            </w:r>
          </w:p>
        </w:tc>
        <w:tc>
          <w:tcPr>
            <w:tcW w:type="dxa" w:w="1234"/>
          </w:tcPr>
          <w:p>
            <w:r>
              <w:t>0.610</w:t>
            </w:r>
          </w:p>
        </w:tc>
        <w:tc>
          <w:tcPr>
            <w:tcW w:type="dxa" w:w="1234"/>
          </w:tcPr>
          <w:p>
            <w:r>
              <w:t>0.619</w:t>
            </w:r>
          </w:p>
        </w:tc>
        <w:tc>
          <w:tcPr>
            <w:tcW w:type="dxa" w:w="1234"/>
          </w:tcPr>
          <w:p>
            <w:r>
              <w:t>0.615</w:t>
            </w:r>
          </w:p>
        </w:tc>
      </w:tr>
      <w:tr>
        <w:tc>
          <w:tcPr>
            <w:tcW w:type="dxa" w:w="1234"/>
          </w:tcPr>
          <w:p>
            <w:r>
              <w:t>T = 42 h</w:t>
            </w:r>
          </w:p>
        </w:tc>
        <w:tc>
          <w:tcPr>
            <w:tcW w:type="dxa" w:w="1234"/>
          </w:tcPr>
          <w:p>
            <w:r>
              <w:t>0.594</w:t>
            </w:r>
          </w:p>
        </w:tc>
        <w:tc>
          <w:tcPr>
            <w:tcW w:type="dxa" w:w="1234"/>
          </w:tcPr>
          <w:p>
            <w:r>
              <w:t>0.536</w:t>
            </w:r>
          </w:p>
        </w:tc>
        <w:tc>
          <w:tcPr>
            <w:tcW w:type="dxa" w:w="1234"/>
          </w:tcPr>
          <w:p>
            <w:r>
              <w:t>0.681</w:t>
            </w:r>
          </w:p>
        </w:tc>
        <w:tc>
          <w:tcPr>
            <w:tcW w:type="dxa" w:w="1234"/>
          </w:tcPr>
          <w:p>
            <w:r>
              <w:t>0.553</w:t>
            </w:r>
          </w:p>
        </w:tc>
        <w:tc>
          <w:tcPr>
            <w:tcW w:type="dxa" w:w="1234"/>
          </w:tcPr>
          <w:p>
            <w:r>
              <w:t>0.561</w:t>
            </w:r>
          </w:p>
        </w:tc>
        <w:tc>
          <w:tcPr>
            <w:tcW w:type="dxa" w:w="1234"/>
          </w:tcPr>
          <w:p>
            <w:r>
              <w:t>0.560</w:t>
            </w:r>
          </w:p>
        </w:tc>
      </w:tr>
      <w:tr>
        <w:tc>
          <w:tcPr>
            <w:tcW w:type="dxa" w:w="1234"/>
          </w:tcPr>
          <w:p>
            <w:r>
              <w:t>Mean (4 horizons)</w:t>
            </w:r>
          </w:p>
        </w:tc>
        <w:tc>
          <w:tcPr>
            <w:tcW w:type="dxa" w:w="1234"/>
          </w:tcPr>
          <w:p>
            <w:r>
              <w:t>0.726</w:t>
            </w:r>
          </w:p>
        </w:tc>
        <w:tc>
          <w:tcPr>
            <w:tcW w:type="dxa" w:w="1234"/>
          </w:tcPr>
          <w:p>
            <w:r>
              <w:t>0.591</w:t>
            </w:r>
          </w:p>
        </w:tc>
        <w:tc>
          <w:tcPr>
            <w:tcW w:type="dxa" w:w="1234"/>
          </w:tcPr>
          <w:p>
            <w:r>
              <w:t>0.732</w:t>
            </w:r>
          </w:p>
        </w:tc>
        <w:tc>
          <w:tcPr>
            <w:tcW w:type="dxa" w:w="1234"/>
          </w:tcPr>
          <w:p>
            <w:r>
              <w:t>0.608</w:t>
            </w:r>
          </w:p>
        </w:tc>
        <w:tc>
          <w:tcPr>
            <w:tcW w:type="dxa" w:w="1234"/>
          </w:tcPr>
          <w:p>
            <w:r>
              <w:t>0.623</w:t>
            </w:r>
          </w:p>
        </w:tc>
        <w:tc>
          <w:tcPr>
            <w:tcW w:type="dxa" w:w="1234"/>
          </w:tcPr>
          <w:p>
            <w:r>
              <w:t>0.612</w:t>
            </w:r>
          </w:p>
        </w:tc>
      </w:tr>
    </w:tbl>
    <w:p>
      <w:r>
        <w:rPr>
          <w:b w:val="0"/>
          <w:i/>
          <w:sz w:val="18"/>
        </w:rPr>
        <w:t>Table 5. Total-SOFA MAE by horizon and family, test split. Bold-worthy pattern: ordinal lowest at every horizon; linear the only family averaging worse than persistence.</w:t>
      </w:r>
    </w:p>
    <w:p>
      <w:pPr>
        <w:pStyle w:val="Heading2"/>
      </w:pPr>
      <w:r>
        <w:t>3.3 Per-axis performance: the improvement is not evenly distributed</w:t>
      </w:r>
    </w:p>
    <w:p>
      <w:r>
        <w:rPr>
          <w:b w:val="0"/>
          <w:i w:val="0"/>
        </w:rPr>
        <w:t>Table 6 averages each axis's test-split MAE across all four horizons, for persistence and for the two best-performing families (ordinal and HistGB). The pattern is consistent across both families and, on inspection, across CatBoost and LightGBM as well: only the neurological axis shows a clear, horizon-consistent improvement over persistence. For every other axis -- respiratory, coagulation, liver, cardiovascular, and renal -- every trained family's average MAE is equal to or higher (worse) than persistence's.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Axis</w:t>
            </w:r>
          </w:p>
        </w:tc>
        <w:tc>
          <w:tcPr>
            <w:tcW w:type="dxa" w:w="1728"/>
          </w:tcPr>
          <w:p>
            <w:r>
              <w:rPr>
                <w:b/>
              </w:rPr>
              <w:t>Persistence</w:t>
            </w:r>
          </w:p>
        </w:tc>
        <w:tc>
          <w:tcPr>
            <w:tcW w:type="dxa" w:w="1728"/>
          </w:tcPr>
          <w:p>
            <w:r>
              <w:rPr>
                <w:b/>
              </w:rPr>
              <w:t>Ordinal</w:t>
            </w:r>
          </w:p>
        </w:tc>
        <w:tc>
          <w:tcPr>
            <w:tcW w:type="dxa" w:w="1728"/>
          </w:tcPr>
          <w:p>
            <w:r>
              <w:rPr>
                <w:b/>
              </w:rPr>
              <w:t>HistGB</w:t>
            </w:r>
          </w:p>
        </w:tc>
        <w:tc>
          <w:tcPr>
            <w:tcW w:type="dxa" w:w="1728"/>
          </w:tcPr>
          <w:p>
            <w:r>
              <w:rPr>
                <w:b/>
              </w:rPr>
              <w:t>Pattern</w:t>
            </w:r>
          </w:p>
        </w:tc>
      </w:tr>
      <w:tr>
        <w:tc>
          <w:tcPr>
            <w:tcW w:type="dxa" w:w="1728"/>
          </w:tcPr>
          <w:p>
            <w:r>
              <w:t>Respiratory</w:t>
            </w:r>
          </w:p>
        </w:tc>
        <w:tc>
          <w:tcPr>
            <w:tcW w:type="dxa" w:w="1728"/>
          </w:tcPr>
          <w:p>
            <w:r>
              <w:t>0.305</w:t>
            </w:r>
          </w:p>
        </w:tc>
        <w:tc>
          <w:tcPr>
            <w:tcW w:type="dxa" w:w="1728"/>
          </w:tcPr>
          <w:p>
            <w:r>
              <w:t>0.335</w:t>
            </w:r>
          </w:p>
        </w:tc>
        <w:tc>
          <w:tcPr>
            <w:tcW w:type="dxa" w:w="1728"/>
          </w:tcPr>
          <w:p>
            <w:r>
              <w:t>0.340</w:t>
            </w:r>
          </w:p>
        </w:tc>
        <w:tc>
          <w:tcPr>
            <w:tcW w:type="dxa" w:w="1728"/>
          </w:tcPr>
          <w:p>
            <w:r>
              <w:t>persistence better</w:t>
            </w:r>
          </w:p>
        </w:tc>
      </w:tr>
      <w:tr>
        <w:tc>
          <w:tcPr>
            <w:tcW w:type="dxa" w:w="1728"/>
          </w:tcPr>
          <w:p>
            <w:r>
              <w:t>Coagulation</w:t>
            </w:r>
          </w:p>
        </w:tc>
        <w:tc>
          <w:tcPr>
            <w:tcW w:type="dxa" w:w="1728"/>
          </w:tcPr>
          <w:p>
            <w:r>
              <w:t>0.082</w:t>
            </w:r>
          </w:p>
        </w:tc>
        <w:tc>
          <w:tcPr>
            <w:tcW w:type="dxa" w:w="1728"/>
          </w:tcPr>
          <w:p>
            <w:r>
              <w:t>0.087</w:t>
            </w:r>
          </w:p>
        </w:tc>
        <w:tc>
          <w:tcPr>
            <w:tcW w:type="dxa" w:w="1728"/>
          </w:tcPr>
          <w:p>
            <w:r>
              <w:t>0.096</w:t>
            </w:r>
          </w:p>
        </w:tc>
        <w:tc>
          <w:tcPr>
            <w:tcW w:type="dxa" w:w="1728"/>
          </w:tcPr>
          <w:p>
            <w:r>
              <w:t>persistence ≈ better</w:t>
            </w:r>
          </w:p>
        </w:tc>
      </w:tr>
      <w:tr>
        <w:tc>
          <w:tcPr>
            <w:tcW w:type="dxa" w:w="1728"/>
          </w:tcPr>
          <w:p>
            <w:r>
              <w:t>Liver</w:t>
            </w:r>
          </w:p>
        </w:tc>
        <w:tc>
          <w:tcPr>
            <w:tcW w:type="dxa" w:w="1728"/>
          </w:tcPr>
          <w:p>
            <w:r>
              <w:t>0.040</w:t>
            </w:r>
          </w:p>
        </w:tc>
        <w:tc>
          <w:tcPr>
            <w:tcW w:type="dxa" w:w="1728"/>
          </w:tcPr>
          <w:p>
            <w:r>
              <w:t>0.047</w:t>
            </w:r>
          </w:p>
        </w:tc>
        <w:tc>
          <w:tcPr>
            <w:tcW w:type="dxa" w:w="1728"/>
          </w:tcPr>
          <w:p>
            <w:r>
              <w:t>0.052</w:t>
            </w:r>
          </w:p>
        </w:tc>
        <w:tc>
          <w:tcPr>
            <w:tcW w:type="dxa" w:w="1728"/>
          </w:tcPr>
          <w:p>
            <w:r>
              <w:t>persistence better</w:t>
            </w:r>
          </w:p>
        </w:tc>
      </w:tr>
      <w:tr>
        <w:tc>
          <w:tcPr>
            <w:tcW w:type="dxa" w:w="1728"/>
          </w:tcPr>
          <w:p>
            <w:r>
              <w:t>Cardiovascular</w:t>
            </w:r>
          </w:p>
        </w:tc>
        <w:tc>
          <w:tcPr>
            <w:tcW w:type="dxa" w:w="1728"/>
          </w:tcPr>
          <w:p>
            <w:r>
              <w:t>0.078</w:t>
            </w:r>
          </w:p>
        </w:tc>
        <w:tc>
          <w:tcPr>
            <w:tcW w:type="dxa" w:w="1728"/>
          </w:tcPr>
          <w:p>
            <w:r>
              <w:t>0.118</w:t>
            </w:r>
          </w:p>
        </w:tc>
        <w:tc>
          <w:tcPr>
            <w:tcW w:type="dxa" w:w="1728"/>
          </w:tcPr>
          <w:p>
            <w:r>
              <w:t>0.117</w:t>
            </w:r>
          </w:p>
        </w:tc>
        <w:tc>
          <w:tcPr>
            <w:tcW w:type="dxa" w:w="1728"/>
          </w:tcPr>
          <w:p>
            <w:r>
              <w:t>persistence clearly better</w:t>
            </w:r>
          </w:p>
        </w:tc>
      </w:tr>
      <w:tr>
        <w:tc>
          <w:tcPr>
            <w:tcW w:type="dxa" w:w="1728"/>
          </w:tcPr>
          <w:p>
            <w:r>
              <w:t>Neurological</w:t>
            </w:r>
          </w:p>
        </w:tc>
        <w:tc>
          <w:tcPr>
            <w:tcW w:type="dxa" w:w="1728"/>
          </w:tcPr>
          <w:p>
            <w:r>
              <w:t>0.308</w:t>
            </w:r>
          </w:p>
        </w:tc>
        <w:tc>
          <w:tcPr>
            <w:tcW w:type="dxa" w:w="1728"/>
          </w:tcPr>
          <w:p>
            <w:r>
              <w:t>0.230</w:t>
            </w:r>
          </w:p>
        </w:tc>
        <w:tc>
          <w:tcPr>
            <w:tcW w:type="dxa" w:w="1728"/>
          </w:tcPr>
          <w:p>
            <w:r>
              <w:t>0.248</w:t>
            </w:r>
          </w:p>
        </w:tc>
        <w:tc>
          <w:tcPr>
            <w:tcW w:type="dxa" w:w="1728"/>
          </w:tcPr>
          <w:p>
            <w:r>
              <w:t>models clearly better</w:t>
            </w:r>
          </w:p>
        </w:tc>
      </w:tr>
      <w:tr>
        <w:tc>
          <w:tcPr>
            <w:tcW w:type="dxa" w:w="1728"/>
          </w:tcPr>
          <w:p>
            <w:r>
              <w:t>Renal</w:t>
            </w:r>
          </w:p>
        </w:tc>
        <w:tc>
          <w:tcPr>
            <w:tcW w:type="dxa" w:w="1728"/>
          </w:tcPr>
          <w:p>
            <w:r>
              <w:t>0.094</w:t>
            </w:r>
          </w:p>
        </w:tc>
        <w:tc>
          <w:tcPr>
            <w:tcW w:type="dxa" w:w="1728"/>
          </w:tcPr>
          <w:p>
            <w:r>
              <w:t>0.106</w:t>
            </w:r>
          </w:p>
        </w:tc>
        <w:tc>
          <w:tcPr>
            <w:tcW w:type="dxa" w:w="1728"/>
          </w:tcPr>
          <w:p>
            <w:r>
              <w:t>0.112</w:t>
            </w:r>
          </w:p>
        </w:tc>
        <w:tc>
          <w:tcPr>
            <w:tcW w:type="dxa" w:w="1728"/>
          </w:tcPr>
          <w:p>
            <w:r>
              <w:t>persistence better</w:t>
            </w:r>
          </w:p>
        </w:tc>
      </w:tr>
    </w:tbl>
    <w:p>
      <w:r>
        <w:rPr>
          <w:b w:val="0"/>
          <w:i/>
          <w:sz w:val="18"/>
        </w:rPr>
        <w:t>Table 6. Mean test-split MAE across all 4 horizons, by axis. Neurological is the only axis where trained models beat persistence.</w:t>
      </w:r>
    </w:p>
    <w:p>
      <w:r>
        <w:rPr>
          <w:b w:val="0"/>
          <w:i w:val="0"/>
        </w:rPr>
        <w:t>This means the total-SOFA improvement reported in Section 3.2 is driven overwhelmingly by the neurological axis, not spread across three axes as an earlier, less precise reading of these results had suggested (Section 4.4 discusses why).</w:t>
      </w:r>
    </w:p>
    <w:p>
      <w:pPr>
        <w:pStyle w:val="Heading2"/>
      </w:pPr>
      <w:r>
        <w:t>3.4 Deterioration classifier performance</w:t>
      </w:r>
    </w:p>
    <w:p>
      <w:r>
        <w:rPr>
          <w:b w:val="0"/>
          <w:i w:val="0"/>
        </w:rPr>
        <w:t>Table 7 reports the deterioration classifier's discrimination on the test split. The ordinal family has no deterioration-classifier variant (Section 2.7). Every classifier clearly beats the no-skill reference (Table 4b) on both AUROC and, more importantly given the outcome's rarity, AUPRC.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Family</w:t>
            </w:r>
          </w:p>
        </w:tc>
        <w:tc>
          <w:tcPr>
            <w:tcW w:type="dxa" w:w="2160"/>
          </w:tcPr>
          <w:p>
            <w:r>
              <w:rPr>
                <w:b/>
              </w:rPr>
              <w:t>AUROC (95% CI)</w:t>
            </w:r>
          </w:p>
        </w:tc>
        <w:tc>
          <w:tcPr>
            <w:tcW w:type="dxa" w:w="2160"/>
          </w:tcPr>
          <w:p>
            <w:r>
              <w:rPr>
                <w:b/>
              </w:rPr>
              <w:t>AUPRC (95% CI)</w:t>
            </w:r>
          </w:p>
        </w:tc>
        <w:tc>
          <w:tcPr>
            <w:tcW w:type="dxa" w:w="2160"/>
          </w:tcPr>
          <w:p>
            <w:r>
              <w:rPr>
                <w:b/>
              </w:rPr>
              <w:t>Brier</w:t>
            </w:r>
          </w:p>
        </w:tc>
      </w:tr>
      <w:tr>
        <w:tc>
          <w:tcPr>
            <w:tcW w:type="dxa" w:w="2160"/>
          </w:tcPr>
          <w:p>
            <w:r>
              <w:t>HistGB</w:t>
            </w:r>
          </w:p>
        </w:tc>
        <w:tc>
          <w:tcPr>
            <w:tcW w:type="dxa" w:w="2160"/>
          </w:tcPr>
          <w:p>
            <w:r>
              <w:t>0.838 (0.816, 0.858)</w:t>
            </w:r>
          </w:p>
        </w:tc>
        <w:tc>
          <w:tcPr>
            <w:tcW w:type="dxa" w:w="2160"/>
          </w:tcPr>
          <w:p>
            <w:r>
              <w:t>0.308 (0.260, 0.361)</w:t>
            </w:r>
          </w:p>
        </w:tc>
        <w:tc>
          <w:tcPr>
            <w:tcW w:type="dxa" w:w="2160"/>
          </w:tcPr>
          <w:p>
            <w:r>
              <w:t>0.118</w:t>
            </w:r>
          </w:p>
        </w:tc>
      </w:tr>
      <w:tr>
        <w:tc>
          <w:tcPr>
            <w:tcW w:type="dxa" w:w="2160"/>
          </w:tcPr>
          <w:p>
            <w:r>
              <w:t>CatBoost</w:t>
            </w:r>
          </w:p>
        </w:tc>
        <w:tc>
          <w:tcPr>
            <w:tcW w:type="dxa" w:w="2160"/>
          </w:tcPr>
          <w:p>
            <w:r>
              <w:t>0.837 (0.816, 0.856)</w:t>
            </w:r>
          </w:p>
        </w:tc>
        <w:tc>
          <w:tcPr>
            <w:tcW w:type="dxa" w:w="2160"/>
          </w:tcPr>
          <w:p>
            <w:r>
              <w:t>0.280 (0.232, 0.332)</w:t>
            </w:r>
          </w:p>
        </w:tc>
        <w:tc>
          <w:tcPr>
            <w:tcW w:type="dxa" w:w="2160"/>
          </w:tcPr>
          <w:p>
            <w:r>
              <w:t>0.154</w:t>
            </w:r>
          </w:p>
        </w:tc>
      </w:tr>
      <w:tr>
        <w:tc>
          <w:tcPr>
            <w:tcW w:type="dxa" w:w="2160"/>
          </w:tcPr>
          <w:p>
            <w:r>
              <w:t>LightGBM</w:t>
            </w:r>
          </w:p>
        </w:tc>
        <w:tc>
          <w:tcPr>
            <w:tcW w:type="dxa" w:w="2160"/>
          </w:tcPr>
          <w:p>
            <w:r>
              <w:t>0.820 (0.796, 0.843)</w:t>
            </w:r>
          </w:p>
        </w:tc>
        <w:tc>
          <w:tcPr>
            <w:tcW w:type="dxa" w:w="2160"/>
          </w:tcPr>
          <w:p>
            <w:r>
              <w:t>0.297 (0.248, 0.346)</w:t>
            </w:r>
          </w:p>
        </w:tc>
        <w:tc>
          <w:tcPr>
            <w:tcW w:type="dxa" w:w="2160"/>
          </w:tcPr>
          <w:p>
            <w:r>
              <w:t>0.041</w:t>
            </w:r>
          </w:p>
        </w:tc>
      </w:tr>
      <w:tr>
        <w:tc>
          <w:tcPr>
            <w:tcW w:type="dxa" w:w="2160"/>
          </w:tcPr>
          <w:p>
            <w:r>
              <w:t>Linear</w:t>
            </w:r>
          </w:p>
        </w:tc>
        <w:tc>
          <w:tcPr>
            <w:tcW w:type="dxa" w:w="2160"/>
          </w:tcPr>
          <w:p>
            <w:r>
              <w:t>0.780 (0.752, 0.807)</w:t>
            </w:r>
          </w:p>
        </w:tc>
        <w:tc>
          <w:tcPr>
            <w:tcW w:type="dxa" w:w="2160"/>
          </w:tcPr>
          <w:p>
            <w:r>
              <w:t>0.175 (0.145, 0.213)</w:t>
            </w:r>
          </w:p>
        </w:tc>
        <w:tc>
          <w:tcPr>
            <w:tcW w:type="dxa" w:w="2160"/>
          </w:tcPr>
          <w:p>
            <w:r>
              <w:t>0.180</w:t>
            </w:r>
          </w:p>
        </w:tc>
      </w:tr>
      <w:tr>
        <w:tc>
          <w:tcPr>
            <w:tcW w:type="dxa" w:w="2160"/>
          </w:tcPr>
          <w:p>
            <w:r>
              <w:t>No-skill</w:t>
            </w:r>
          </w:p>
        </w:tc>
        <w:tc>
          <w:tcPr>
            <w:tcW w:type="dxa" w:w="2160"/>
          </w:tcPr>
          <w:p>
            <w:r>
              <w:t>0.500</w:t>
            </w:r>
          </w:p>
        </w:tc>
        <w:tc>
          <w:tcPr>
            <w:tcW w:type="dxa" w:w="2160"/>
          </w:tcPr>
          <w:p>
            <w:r>
              <w:t>0.045</w:t>
            </w:r>
          </w:p>
        </w:tc>
        <w:tc>
          <w:tcPr>
            <w:tcW w:type="dxa" w:w="2160"/>
          </w:tcPr>
          <w:p>
            <w:r>
              <w:t>0.043</w:t>
            </w:r>
          </w:p>
        </w:tc>
      </w:tr>
    </w:tbl>
    <w:p>
      <w:r>
        <w:rPr>
          <w:b w:val="0"/>
          <w:i/>
          <w:sz w:val="18"/>
        </w:rPr>
        <w:t>Table 7. Deterioration classifier performance, test split (n = 7,187).</w:t>
      </w:r>
    </w:p>
    <w:p>
      <w:pPr>
        <w:pStyle w:val="Heading2"/>
      </w:pPr>
      <w:r>
        <w:t>3.5 Calibration</w:t>
      </w:r>
    </w:p>
    <w:p>
      <w:r>
        <w:rPr>
          <w:b w:val="0"/>
          <w:i w:val="0"/>
        </w:rPr>
        <w:t>Discrimination (Table 7) and calibration answer different questions. HistGB's ten-bin reliability table on the test split shows systematic over-confidence at the high-risk end: the top decile's mean predicted probability is 0.696, but the observed event rate in that decile is only 0.220 -- the model correctly identifies which patients are at highest relative risk (supporting its strong AUROC/AUPRC), but its raw probability output substantially overstates absolute risk and should not be quoted as a literal percentage without recalibration (e.g. Platt scaling or isotonic regression).</w:t>
      </w:r>
    </w:p>
    <w:p>
      <w:pPr>
        <w:pStyle w:val="Heading2"/>
      </w:pPr>
      <w:r>
        <w:t>3.6 Subgroup analysis</w:t>
      </w:r>
    </w:p>
    <w:p>
      <w:r>
        <w:rPr>
          <w:b w:val="0"/>
          <w:i w:val="0"/>
        </w:rPr>
        <w:t>Total-SOFA MAE (HistGB, validation split) shows no material difference by hemodynamic-instability status (minimum MAP &lt; 65 mmHg in the input window): 0.592 (n=2,590, stable) vs. 0.592 (n=4,483, unstable) -- i.e., the model's forecast accuracy is not degraded for the subgroup where the cardiovascular-axis data limitation (Section 1.2) would be expected to bite hardest.</w:t>
      </w:r>
    </w:p>
    <w:p>
      <w:pPr>
        <w:pStyle w:val="Heading2"/>
      </w:pPr>
      <w:r>
        <w:t>3.7 Absolute-vs-delta ablation: resolving the formulation confound</w:t>
      </w:r>
    </w:p>
    <w:p>
      <w:r>
        <w:rPr>
          <w:b w:val="0"/>
          <w:i w:val="0"/>
        </w:rPr>
        <w:t>Table 8 reports the ablation described in Section 2.10. The result is unambiguous: histgb+absolute is WORSE than histgb+delta at every one of the four horizons -- predicting the absolute score directly does not explain ordinal's advantage; if anything, it is the harder target for a plain regressor. Ordinal+absolute remains the best of the three at every horizon despite sharing the same absolute-target representation as histgb+absolute.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Horizon</w:t>
            </w:r>
          </w:p>
        </w:tc>
        <w:tc>
          <w:tcPr>
            <w:tcW w:type="dxa" w:w="1728"/>
          </w:tcPr>
          <w:p>
            <w:r>
              <w:rPr>
                <w:b/>
              </w:rPr>
              <w:t>Persistence</w:t>
            </w:r>
          </w:p>
        </w:tc>
        <w:tc>
          <w:tcPr>
            <w:tcW w:type="dxa" w:w="1728"/>
          </w:tcPr>
          <w:p>
            <w:r>
              <w:rPr>
                <w:b/>
              </w:rPr>
              <w:t>HistGB + delta</w:t>
            </w:r>
          </w:p>
        </w:tc>
        <w:tc>
          <w:tcPr>
            <w:tcW w:type="dxa" w:w="1728"/>
          </w:tcPr>
          <w:p>
            <w:r>
              <w:rPr>
                <w:b/>
              </w:rPr>
              <w:t>HistGB + absolute</w:t>
            </w:r>
          </w:p>
        </w:tc>
        <w:tc>
          <w:tcPr>
            <w:tcW w:type="dxa" w:w="1728"/>
          </w:tcPr>
          <w:p>
            <w:r>
              <w:rPr>
                <w:b/>
              </w:rPr>
              <w:t>Ordinal + absolute</w:t>
            </w:r>
          </w:p>
        </w:tc>
      </w:tr>
      <w:tr>
        <w:tc>
          <w:tcPr>
            <w:tcW w:type="dxa" w:w="1728"/>
          </w:tcPr>
          <w:p>
            <w:r>
              <w:t>T = 24 h</w:t>
            </w:r>
          </w:p>
        </w:tc>
        <w:tc>
          <w:tcPr>
            <w:tcW w:type="dxa" w:w="1728"/>
          </w:tcPr>
          <w:p>
            <w:r>
              <w:t>0.957</w:t>
            </w:r>
          </w:p>
        </w:tc>
        <w:tc>
          <w:tcPr>
            <w:tcW w:type="dxa" w:w="1728"/>
          </w:tcPr>
          <w:p>
            <w:r>
              <w:t>0.651</w:t>
            </w:r>
          </w:p>
        </w:tc>
        <w:tc>
          <w:tcPr>
            <w:tcW w:type="dxa" w:w="1728"/>
          </w:tcPr>
          <w:p>
            <w:r>
              <w:t>0.659</w:t>
            </w:r>
          </w:p>
        </w:tc>
        <w:tc>
          <w:tcPr>
            <w:tcW w:type="dxa" w:w="1728"/>
          </w:tcPr>
          <w:p>
            <w:r>
              <w:t>0.629</w:t>
            </w:r>
          </w:p>
        </w:tc>
      </w:tr>
      <w:tr>
        <w:tc>
          <w:tcPr>
            <w:tcW w:type="dxa" w:w="1728"/>
          </w:tcPr>
          <w:p>
            <w:r>
              <w:t>T = 30 h</w:t>
            </w:r>
          </w:p>
        </w:tc>
        <w:tc>
          <w:tcPr>
            <w:tcW w:type="dxa" w:w="1728"/>
          </w:tcPr>
          <w:p>
            <w:r>
              <w:t>0.706</w:t>
            </w:r>
          </w:p>
        </w:tc>
        <w:tc>
          <w:tcPr>
            <w:tcW w:type="dxa" w:w="1728"/>
          </w:tcPr>
          <w:p>
            <w:r>
              <w:t>0.619</w:t>
            </w:r>
          </w:p>
        </w:tc>
        <w:tc>
          <w:tcPr>
            <w:tcW w:type="dxa" w:w="1728"/>
          </w:tcPr>
          <w:p>
            <w:r>
              <w:t>0.625</w:t>
            </w:r>
          </w:p>
        </w:tc>
        <w:tc>
          <w:tcPr>
            <w:tcW w:type="dxa" w:w="1728"/>
          </w:tcPr>
          <w:p>
            <w:r>
              <w:t>0.601</w:t>
            </w:r>
          </w:p>
        </w:tc>
      </w:tr>
      <w:tr>
        <w:tc>
          <w:tcPr>
            <w:tcW w:type="dxa" w:w="1728"/>
          </w:tcPr>
          <w:p>
            <w:r>
              <w:t>T = 36 h</w:t>
            </w:r>
          </w:p>
        </w:tc>
        <w:tc>
          <w:tcPr>
            <w:tcW w:type="dxa" w:w="1728"/>
          </w:tcPr>
          <w:p>
            <w:r>
              <w:t>0.645</w:t>
            </w:r>
          </w:p>
        </w:tc>
        <w:tc>
          <w:tcPr>
            <w:tcW w:type="dxa" w:w="1728"/>
          </w:tcPr>
          <w:p>
            <w:r>
              <w:t>0.610</w:t>
            </w:r>
          </w:p>
        </w:tc>
        <w:tc>
          <w:tcPr>
            <w:tcW w:type="dxa" w:w="1728"/>
          </w:tcPr>
          <w:p>
            <w:r>
              <w:t>0.625</w:t>
            </w:r>
          </w:p>
        </w:tc>
        <w:tc>
          <w:tcPr>
            <w:tcW w:type="dxa" w:w="1728"/>
          </w:tcPr>
          <w:p>
            <w:r>
              <w:t>0.597</w:t>
            </w:r>
          </w:p>
        </w:tc>
      </w:tr>
      <w:tr>
        <w:tc>
          <w:tcPr>
            <w:tcW w:type="dxa" w:w="1728"/>
          </w:tcPr>
          <w:p>
            <w:r>
              <w:t>T = 42 h</w:t>
            </w:r>
          </w:p>
        </w:tc>
        <w:tc>
          <w:tcPr>
            <w:tcW w:type="dxa" w:w="1728"/>
          </w:tcPr>
          <w:p>
            <w:r>
              <w:t>0.594</w:t>
            </w:r>
          </w:p>
        </w:tc>
        <w:tc>
          <w:tcPr>
            <w:tcW w:type="dxa" w:w="1728"/>
          </w:tcPr>
          <w:p>
            <w:r>
              <w:t>0.553</w:t>
            </w:r>
          </w:p>
        </w:tc>
        <w:tc>
          <w:tcPr>
            <w:tcW w:type="dxa" w:w="1728"/>
          </w:tcPr>
          <w:p>
            <w:r>
              <w:t>0.562</w:t>
            </w:r>
          </w:p>
        </w:tc>
        <w:tc>
          <w:tcPr>
            <w:tcW w:type="dxa" w:w="1728"/>
          </w:tcPr>
          <w:p>
            <w:r>
              <w:t>0.536</w:t>
            </w:r>
          </w:p>
        </w:tc>
      </w:tr>
    </w:tbl>
    <w:p>
      <w:r>
        <w:rPr>
          <w:b w:val="0"/>
          <w:i/>
          <w:sz w:val="18"/>
        </w:rPr>
        <w:t>Table 8. Total-SOFA MAE, test split. HistGB+absolute uses the identical base learner and grid as HistGB+delta (Table 5), differing only in target representation.</w:t>
      </w:r>
    </w:p>
    <w:p>
      <w:r>
        <w:rPr>
          <w:b w:val="0"/>
          <w:i w:val="0"/>
        </w:rPr>
        <w:t>The same pattern holds at every one of the six organ axes without exception (Table 9, extending Table 6): histgb+absolute is the single worst of the three trained series for respiratory, coagulation, liver, cardiovascular, neurological, and renal alike.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Axis</w:t>
            </w:r>
          </w:p>
        </w:tc>
        <w:tc>
          <w:tcPr>
            <w:tcW w:type="dxa" w:w="1728"/>
          </w:tcPr>
          <w:p>
            <w:r>
              <w:rPr>
                <w:b/>
              </w:rPr>
              <w:t>Persistence</w:t>
            </w:r>
          </w:p>
        </w:tc>
        <w:tc>
          <w:tcPr>
            <w:tcW w:type="dxa" w:w="1728"/>
          </w:tcPr>
          <w:p>
            <w:r>
              <w:rPr>
                <w:b/>
              </w:rPr>
              <w:t>Ordinal + absolute</w:t>
            </w:r>
          </w:p>
        </w:tc>
        <w:tc>
          <w:tcPr>
            <w:tcW w:type="dxa" w:w="1728"/>
          </w:tcPr>
          <w:p>
            <w:r>
              <w:rPr>
                <w:b/>
              </w:rPr>
              <w:t>HistGB + delta</w:t>
            </w:r>
          </w:p>
        </w:tc>
        <w:tc>
          <w:tcPr>
            <w:tcW w:type="dxa" w:w="1728"/>
          </w:tcPr>
          <w:p>
            <w:r>
              <w:rPr>
                <w:b/>
              </w:rPr>
              <w:t>HistGB + absolute</w:t>
            </w:r>
          </w:p>
        </w:tc>
      </w:tr>
      <w:tr>
        <w:tc>
          <w:tcPr>
            <w:tcW w:type="dxa" w:w="1728"/>
          </w:tcPr>
          <w:p>
            <w:r>
              <w:t>Respiratory</w:t>
            </w:r>
          </w:p>
        </w:tc>
        <w:tc>
          <w:tcPr>
            <w:tcW w:type="dxa" w:w="1728"/>
          </w:tcPr>
          <w:p>
            <w:r>
              <w:t>0.305</w:t>
            </w:r>
          </w:p>
        </w:tc>
        <w:tc>
          <w:tcPr>
            <w:tcW w:type="dxa" w:w="1728"/>
          </w:tcPr>
          <w:p>
            <w:r>
              <w:t>0.335</w:t>
            </w:r>
          </w:p>
        </w:tc>
        <w:tc>
          <w:tcPr>
            <w:tcW w:type="dxa" w:w="1728"/>
          </w:tcPr>
          <w:p>
            <w:r>
              <w:t>0.340</w:t>
            </w:r>
          </w:p>
        </w:tc>
        <w:tc>
          <w:tcPr>
            <w:tcW w:type="dxa" w:w="1728"/>
          </w:tcPr>
          <w:p>
            <w:r>
              <w:t>0.356</w:t>
            </w:r>
          </w:p>
        </w:tc>
      </w:tr>
      <w:tr>
        <w:tc>
          <w:tcPr>
            <w:tcW w:type="dxa" w:w="1728"/>
          </w:tcPr>
          <w:p>
            <w:r>
              <w:t>Coagulation</w:t>
            </w:r>
          </w:p>
        </w:tc>
        <w:tc>
          <w:tcPr>
            <w:tcW w:type="dxa" w:w="1728"/>
          </w:tcPr>
          <w:p>
            <w:r>
              <w:t>0.082</w:t>
            </w:r>
          </w:p>
        </w:tc>
        <w:tc>
          <w:tcPr>
            <w:tcW w:type="dxa" w:w="1728"/>
          </w:tcPr>
          <w:p>
            <w:r>
              <w:t>0.087</w:t>
            </w:r>
          </w:p>
        </w:tc>
        <w:tc>
          <w:tcPr>
            <w:tcW w:type="dxa" w:w="1728"/>
          </w:tcPr>
          <w:p>
            <w:r>
              <w:t>0.096</w:t>
            </w:r>
          </w:p>
        </w:tc>
        <w:tc>
          <w:tcPr>
            <w:tcW w:type="dxa" w:w="1728"/>
          </w:tcPr>
          <w:p>
            <w:r>
              <w:t>0.100</w:t>
            </w:r>
          </w:p>
        </w:tc>
      </w:tr>
      <w:tr>
        <w:tc>
          <w:tcPr>
            <w:tcW w:type="dxa" w:w="1728"/>
          </w:tcPr>
          <w:p>
            <w:r>
              <w:t>Liver</w:t>
            </w:r>
          </w:p>
        </w:tc>
        <w:tc>
          <w:tcPr>
            <w:tcW w:type="dxa" w:w="1728"/>
          </w:tcPr>
          <w:p>
            <w:r>
              <w:t>0.040</w:t>
            </w:r>
          </w:p>
        </w:tc>
        <w:tc>
          <w:tcPr>
            <w:tcW w:type="dxa" w:w="1728"/>
          </w:tcPr>
          <w:p>
            <w:r>
              <w:t>0.047</w:t>
            </w:r>
          </w:p>
        </w:tc>
        <w:tc>
          <w:tcPr>
            <w:tcW w:type="dxa" w:w="1728"/>
          </w:tcPr>
          <w:p>
            <w:r>
              <w:t>0.052</w:t>
            </w:r>
          </w:p>
        </w:tc>
        <w:tc>
          <w:tcPr>
            <w:tcW w:type="dxa" w:w="1728"/>
          </w:tcPr>
          <w:p>
            <w:r>
              <w:t>0.061</w:t>
            </w:r>
          </w:p>
        </w:tc>
      </w:tr>
      <w:tr>
        <w:tc>
          <w:tcPr>
            <w:tcW w:type="dxa" w:w="1728"/>
          </w:tcPr>
          <w:p>
            <w:r>
              <w:t>Cardiovascular</w:t>
            </w:r>
          </w:p>
        </w:tc>
        <w:tc>
          <w:tcPr>
            <w:tcW w:type="dxa" w:w="1728"/>
          </w:tcPr>
          <w:p>
            <w:r>
              <w:t>0.078</w:t>
            </w:r>
          </w:p>
        </w:tc>
        <w:tc>
          <w:tcPr>
            <w:tcW w:type="dxa" w:w="1728"/>
          </w:tcPr>
          <w:p>
            <w:r>
              <w:t>0.118</w:t>
            </w:r>
          </w:p>
        </w:tc>
        <w:tc>
          <w:tcPr>
            <w:tcW w:type="dxa" w:w="1728"/>
          </w:tcPr>
          <w:p>
            <w:r>
              <w:t>0.117</w:t>
            </w:r>
          </w:p>
        </w:tc>
        <w:tc>
          <w:tcPr>
            <w:tcW w:type="dxa" w:w="1728"/>
          </w:tcPr>
          <w:p>
            <w:r>
              <w:t>0.120</w:t>
            </w:r>
          </w:p>
        </w:tc>
      </w:tr>
      <w:tr>
        <w:tc>
          <w:tcPr>
            <w:tcW w:type="dxa" w:w="1728"/>
          </w:tcPr>
          <w:p>
            <w:r>
              <w:t>Neurological</w:t>
            </w:r>
          </w:p>
        </w:tc>
        <w:tc>
          <w:tcPr>
            <w:tcW w:type="dxa" w:w="1728"/>
          </w:tcPr>
          <w:p>
            <w:r>
              <w:t>0.308</w:t>
            </w:r>
          </w:p>
        </w:tc>
        <w:tc>
          <w:tcPr>
            <w:tcW w:type="dxa" w:w="1728"/>
          </w:tcPr>
          <w:p>
            <w:r>
              <w:t>0.230</w:t>
            </w:r>
          </w:p>
        </w:tc>
        <w:tc>
          <w:tcPr>
            <w:tcW w:type="dxa" w:w="1728"/>
          </w:tcPr>
          <w:p>
            <w:r>
              <w:t>0.248</w:t>
            </w:r>
          </w:p>
        </w:tc>
        <w:tc>
          <w:tcPr>
            <w:tcW w:type="dxa" w:w="1728"/>
          </w:tcPr>
          <w:p>
            <w:r>
              <w:t>0.257</w:t>
            </w:r>
          </w:p>
        </w:tc>
      </w:tr>
      <w:tr>
        <w:tc>
          <w:tcPr>
            <w:tcW w:type="dxa" w:w="1728"/>
          </w:tcPr>
          <w:p>
            <w:r>
              <w:t>Renal</w:t>
            </w:r>
          </w:p>
        </w:tc>
        <w:tc>
          <w:tcPr>
            <w:tcW w:type="dxa" w:w="1728"/>
          </w:tcPr>
          <w:p>
            <w:r>
              <w:t>0.094</w:t>
            </w:r>
          </w:p>
        </w:tc>
        <w:tc>
          <w:tcPr>
            <w:tcW w:type="dxa" w:w="1728"/>
          </w:tcPr>
          <w:p>
            <w:r>
              <w:t>0.106</w:t>
            </w:r>
          </w:p>
        </w:tc>
        <w:tc>
          <w:tcPr>
            <w:tcW w:type="dxa" w:w="1728"/>
          </w:tcPr>
          <w:p>
            <w:r>
              <w:t>0.112</w:t>
            </w:r>
          </w:p>
        </w:tc>
        <w:tc>
          <w:tcPr>
            <w:tcW w:type="dxa" w:w="1728"/>
          </w:tcPr>
          <w:p>
            <w:r>
              <w:t>0.123</w:t>
            </w:r>
          </w:p>
        </w:tc>
      </w:tr>
    </w:tbl>
    <w:p>
      <w:r>
        <w:rPr>
          <w:b w:val="0"/>
          <w:i/>
          <w:sz w:val="18"/>
        </w:rPr>
        <w:t>Table 9. Mean test-split MAE across all 4 horizons, by axis, extending Table 6 with the absolute-target control. HistGB+absolute is the worst of the three trained series at every single axis.</w:t>
      </w:r>
    </w:p>
    <w:p>
      <w:r>
        <w:rPr>
          <w:b w:val="0"/>
          <w:i w:val="0"/>
        </w:rPr>
        <w:t>Table 10 evaluates the delta itself directly (predicted six-hour change vs. observed change), independent of reconstruction, to confirm the models are tracking genuine trajectory information rather than simply exploiting how rarely SOFA changes: every trained series achieves a materially lower delta MAE, higher directional accuracy, and higher correlation with the observed change than a model that always predicts zero change (the persistence baseline's implicit delta prediction).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Series</w:t>
            </w:r>
          </w:p>
        </w:tc>
        <w:tc>
          <w:tcPr>
            <w:tcW w:type="dxa" w:w="1728"/>
          </w:tcPr>
          <w:p>
            <w:r>
              <w:rPr>
                <w:b/>
              </w:rPr>
              <w:t>N</w:t>
            </w:r>
          </w:p>
        </w:tc>
        <w:tc>
          <w:tcPr>
            <w:tcW w:type="dxa" w:w="1728"/>
          </w:tcPr>
          <w:p>
            <w:r>
              <w:rPr>
                <w:b/>
              </w:rPr>
              <w:t>Delta MAE</w:t>
            </w:r>
          </w:p>
        </w:tc>
        <w:tc>
          <w:tcPr>
            <w:tcW w:type="dxa" w:w="1728"/>
          </w:tcPr>
          <w:p>
            <w:r>
              <w:rPr>
                <w:b/>
              </w:rPr>
              <w:t>Directional accuracy</w:t>
            </w:r>
          </w:p>
        </w:tc>
        <w:tc>
          <w:tcPr>
            <w:tcW w:type="dxa" w:w="1728"/>
          </w:tcPr>
          <w:p>
            <w:r>
              <w:rPr>
                <w:b/>
              </w:rPr>
              <w:t>Corr. (pred. vs. observed)</w:t>
            </w:r>
          </w:p>
        </w:tc>
      </w:tr>
      <w:tr>
        <w:tc>
          <w:tcPr>
            <w:tcW w:type="dxa" w:w="1728"/>
          </w:tcPr>
          <w:p>
            <w:r>
              <w:t>Ordinal (backed out)</w:t>
            </w:r>
          </w:p>
        </w:tc>
        <w:tc>
          <w:tcPr>
            <w:tcW w:type="dxa" w:w="1728"/>
          </w:tcPr>
          <w:p>
            <w:r>
              <w:t>7,187</w:t>
            </w:r>
          </w:p>
        </w:tc>
        <w:tc>
          <w:tcPr>
            <w:tcW w:type="dxa" w:w="1728"/>
          </w:tcPr>
          <w:p>
            <w:r>
              <w:t>0.591</w:t>
            </w:r>
          </w:p>
        </w:tc>
        <w:tc>
          <w:tcPr>
            <w:tcW w:type="dxa" w:w="1728"/>
          </w:tcPr>
          <w:p>
            <w:r>
              <w:t>84.0%</w:t>
            </w:r>
          </w:p>
        </w:tc>
        <w:tc>
          <w:tcPr>
            <w:tcW w:type="dxa" w:w="1728"/>
          </w:tcPr>
          <w:p>
            <w:r>
              <w:t>0.699</w:t>
            </w:r>
          </w:p>
        </w:tc>
      </w:tr>
      <w:tr>
        <w:tc>
          <w:tcPr>
            <w:tcW w:type="dxa" w:w="1728"/>
          </w:tcPr>
          <w:p>
            <w:r>
              <w:t>HistGB (native delta)</w:t>
            </w:r>
          </w:p>
        </w:tc>
        <w:tc>
          <w:tcPr>
            <w:tcW w:type="dxa" w:w="1728"/>
          </w:tcPr>
          <w:p>
            <w:r>
              <w:t>7,187</w:t>
            </w:r>
          </w:p>
        </w:tc>
        <w:tc>
          <w:tcPr>
            <w:tcW w:type="dxa" w:w="1728"/>
          </w:tcPr>
          <w:p>
            <w:r>
              <w:t>0.608</w:t>
            </w:r>
          </w:p>
        </w:tc>
        <w:tc>
          <w:tcPr>
            <w:tcW w:type="dxa" w:w="1728"/>
          </w:tcPr>
          <w:p>
            <w:r>
              <w:t>82.9%</w:t>
            </w:r>
          </w:p>
        </w:tc>
        <w:tc>
          <w:tcPr>
            <w:tcW w:type="dxa" w:w="1728"/>
          </w:tcPr>
          <w:p>
            <w:r>
              <w:t>0.694</w:t>
            </w:r>
          </w:p>
        </w:tc>
      </w:tr>
      <w:tr>
        <w:tc>
          <w:tcPr>
            <w:tcW w:type="dxa" w:w="1728"/>
          </w:tcPr>
          <w:p>
            <w:r>
              <w:t>HistGB + absolute (backed out)</w:t>
            </w:r>
          </w:p>
        </w:tc>
        <w:tc>
          <w:tcPr>
            <w:tcW w:type="dxa" w:w="1728"/>
          </w:tcPr>
          <w:p>
            <w:r>
              <w:t>7,187</w:t>
            </w:r>
          </w:p>
        </w:tc>
        <w:tc>
          <w:tcPr>
            <w:tcW w:type="dxa" w:w="1728"/>
          </w:tcPr>
          <w:p>
            <w:r>
              <w:t>0.618</w:t>
            </w:r>
          </w:p>
        </w:tc>
        <w:tc>
          <w:tcPr>
            <w:tcW w:type="dxa" w:w="1728"/>
          </w:tcPr>
          <w:p>
            <w:r>
              <w:t>83.1%</w:t>
            </w:r>
          </w:p>
        </w:tc>
        <w:tc>
          <w:tcPr>
            <w:tcW w:type="dxa" w:w="1728"/>
          </w:tcPr>
          <w:p>
            <w:r>
              <w:t>0.690</w:t>
            </w:r>
          </w:p>
        </w:tc>
      </w:tr>
      <w:tr>
        <w:tc>
          <w:tcPr>
            <w:tcW w:type="dxa" w:w="1728"/>
          </w:tcPr>
          <w:p>
            <w:r>
              <w:t>Persistence (implies delta = 0)</w:t>
            </w:r>
          </w:p>
        </w:tc>
        <w:tc>
          <w:tcPr>
            <w:tcW w:type="dxa" w:w="1728"/>
          </w:tcPr>
          <w:p>
            <w:r>
              <w:t>7,187</w:t>
            </w:r>
          </w:p>
        </w:tc>
        <w:tc>
          <w:tcPr>
            <w:tcW w:type="dxa" w:w="1728"/>
          </w:tcPr>
          <w:p>
            <w:r>
              <w:t>0.726</w:t>
            </w:r>
          </w:p>
        </w:tc>
        <w:tc>
          <w:tcPr>
            <w:tcW w:type="dxa" w:w="1728"/>
          </w:tcPr>
          <w:p>
            <w:r>
              <w:t>0.0%</w:t>
            </w:r>
          </w:p>
        </w:tc>
        <w:tc>
          <w:tcPr>
            <w:tcW w:type="dxa" w:w="1728"/>
          </w:tcPr>
          <w:p>
            <w:r>
              <w:t>n/a</w:t>
            </w:r>
          </w:p>
        </w:tc>
      </w:tr>
    </w:tbl>
    <w:p>
      <w:r>
        <w:rPr>
          <w:b w:val="0"/>
          <w:i/>
          <w:sz w:val="18"/>
        </w:rPr>
        <w:t>Table 10. Delta-specific accuracy, total SOFA, test split. “Backed out” = predicted absolute score minus SOFA_now, for series that don't predict a delta natively.</w:t>
      </w:r>
    </w:p>
    <w:p>
      <w:pPr>
        <w:pStyle w:val="Heading2"/>
      </w:pPr>
      <w:r>
        <w:t>3.8 Target volatility by axis: why persistence wins for five of six</w:t>
      </w:r>
    </w:p>
    <w:p>
      <w:r>
        <w:rPr>
          <w:b w:val="0"/>
          <w:i w:val="0"/>
        </w:rPr>
        <w:t>Table 11 answers directly, from the outcome variable itself rather than from any model, how much genuine six-hour change each axis actually has. The pattern resolves the question cleanly: neurological is the ONLY axis combining substantial true volatility (std(delta) 0.76, the highest of the six; only 81.3% of windows show zero change) WITH high measurement frequency (98.2% of rows have a measured value). Every other axis fails at least one of those two conditions. Respiratory has almost as much true volatility as neurological (std(delta) 0.57; 81.2% zero-change -- nearly identical to neurological's 81.3%), but is measured in under half of rows (45.7%); renal, coagulation, and cardiovascular are all measured in &gt;90% of rows but show much less true volatility (std(delta) 0.29-0.36; 91.8-93.4% zero-change); liver is worst on both counts simultaneously (std(delta) 0.19, the lowest; measured in only 40.2% of rows).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Axis</w:t>
            </w:r>
          </w:p>
        </w:tc>
        <w:tc>
          <w:tcPr>
            <w:tcW w:type="dxa" w:w="1440"/>
          </w:tcPr>
          <w:p>
            <w:r>
              <w:rPr>
                <w:b/>
              </w:rPr>
              <w:t>N measured</w:t>
            </w:r>
          </w:p>
        </w:tc>
        <w:tc>
          <w:tcPr>
            <w:tcW w:type="dxa" w:w="1440"/>
          </w:tcPr>
          <w:p>
            <w:r>
              <w:rPr>
                <w:b/>
              </w:rPr>
              <w:t>% measured</w:t>
            </w:r>
          </w:p>
        </w:tc>
        <w:tc>
          <w:tcPr>
            <w:tcW w:type="dxa" w:w="1440"/>
          </w:tcPr>
          <w:p>
            <w:r>
              <w:rPr>
                <w:b/>
              </w:rPr>
              <w:t>% zero Δ (unchanged)</w:t>
            </w:r>
          </w:p>
        </w:tc>
        <w:tc>
          <w:tcPr>
            <w:tcW w:type="dxa" w:w="1440"/>
          </w:tcPr>
          <w:p>
            <w:r>
              <w:rPr>
                <w:b/>
              </w:rPr>
              <w:t>Std(Δ)</w:t>
            </w:r>
          </w:p>
        </w:tc>
        <w:tc>
          <w:tcPr>
            <w:tcW w:type="dxa" w:w="1440"/>
          </w:tcPr>
          <w:p>
            <w:r>
              <w:rPr>
                <w:b/>
              </w:rPr>
              <w:t>Beats persistence?</w:t>
            </w:r>
          </w:p>
        </w:tc>
      </w:tr>
      <w:tr>
        <w:tc>
          <w:tcPr>
            <w:tcW w:type="dxa" w:w="1440"/>
          </w:tcPr>
          <w:p>
            <w:r>
              <w:t>Neurological</w:t>
            </w:r>
          </w:p>
        </w:tc>
        <w:tc>
          <w:tcPr>
            <w:tcW w:type="dxa" w:w="1440"/>
          </w:tcPr>
          <w:p>
            <w:r>
              <w:t>47,119</w:t>
            </w:r>
          </w:p>
        </w:tc>
        <w:tc>
          <w:tcPr>
            <w:tcW w:type="dxa" w:w="1440"/>
          </w:tcPr>
          <w:p>
            <w:r>
              <w:t>98.2%</w:t>
            </w:r>
          </w:p>
        </w:tc>
        <w:tc>
          <w:tcPr>
            <w:tcW w:type="dxa" w:w="1440"/>
          </w:tcPr>
          <w:p>
            <w:r>
              <w:t>81.3%</w:t>
            </w:r>
          </w:p>
        </w:tc>
        <w:tc>
          <w:tcPr>
            <w:tcW w:type="dxa" w:w="1440"/>
          </w:tcPr>
          <w:p>
            <w:r>
              <w:t>0.764</w:t>
            </w:r>
          </w:p>
        </w:tc>
        <w:tc>
          <w:tcPr>
            <w:tcW w:type="dxa" w:w="1440"/>
          </w:tcPr>
          <w:p>
            <w:r>
              <w:t>YES</w:t>
            </w:r>
          </w:p>
        </w:tc>
      </w:tr>
      <w:tr>
        <w:tc>
          <w:tcPr>
            <w:tcW w:type="dxa" w:w="1440"/>
          </w:tcPr>
          <w:p>
            <w:r>
              <w:t>Respiratory</w:t>
            </w:r>
          </w:p>
        </w:tc>
        <w:tc>
          <w:tcPr>
            <w:tcW w:type="dxa" w:w="1440"/>
          </w:tcPr>
          <w:p>
            <w:r>
              <w:t>21,944</w:t>
            </w:r>
          </w:p>
        </w:tc>
        <w:tc>
          <w:tcPr>
            <w:tcW w:type="dxa" w:w="1440"/>
          </w:tcPr>
          <w:p>
            <w:r>
              <w:t>45.7%</w:t>
            </w:r>
          </w:p>
        </w:tc>
        <w:tc>
          <w:tcPr>
            <w:tcW w:type="dxa" w:w="1440"/>
          </w:tcPr>
          <w:p>
            <w:r>
              <w:t>81.2%</w:t>
            </w:r>
          </w:p>
        </w:tc>
        <w:tc>
          <w:tcPr>
            <w:tcW w:type="dxa" w:w="1440"/>
          </w:tcPr>
          <w:p>
            <w:r>
              <w:t>0.571</w:t>
            </w:r>
          </w:p>
        </w:tc>
        <w:tc>
          <w:tcPr>
            <w:tcW w:type="dxa" w:w="1440"/>
          </w:tcPr>
          <w:p>
            <w:r>
              <w:t>No</w:t>
            </w:r>
          </w:p>
        </w:tc>
      </w:tr>
      <w:tr>
        <w:tc>
          <w:tcPr>
            <w:tcW w:type="dxa" w:w="1440"/>
          </w:tcPr>
          <w:p>
            <w:r>
              <w:t>Renal</w:t>
            </w:r>
          </w:p>
        </w:tc>
        <w:tc>
          <w:tcPr>
            <w:tcW w:type="dxa" w:w="1440"/>
          </w:tcPr>
          <w:p>
            <w:r>
              <w:t>47,292</w:t>
            </w:r>
          </w:p>
        </w:tc>
        <w:tc>
          <w:tcPr>
            <w:tcW w:type="dxa" w:w="1440"/>
          </w:tcPr>
          <w:p>
            <w:r>
              <w:t>98.5%</w:t>
            </w:r>
          </w:p>
        </w:tc>
        <w:tc>
          <w:tcPr>
            <w:tcW w:type="dxa" w:w="1440"/>
          </w:tcPr>
          <w:p>
            <w:r>
              <w:t>93.4%</w:t>
            </w:r>
          </w:p>
        </w:tc>
        <w:tc>
          <w:tcPr>
            <w:tcW w:type="dxa" w:w="1440"/>
          </w:tcPr>
          <w:p>
            <w:r>
              <w:t>0.362</w:t>
            </w:r>
          </w:p>
        </w:tc>
        <w:tc>
          <w:tcPr>
            <w:tcW w:type="dxa" w:w="1440"/>
          </w:tcPr>
          <w:p>
            <w:r>
              <w:t>No</w:t>
            </w:r>
          </w:p>
        </w:tc>
      </w:tr>
      <w:tr>
        <w:tc>
          <w:tcPr>
            <w:tcW w:type="dxa" w:w="1440"/>
          </w:tcPr>
          <w:p>
            <w:r>
              <w:t>Coagulation</w:t>
            </w:r>
          </w:p>
        </w:tc>
        <w:tc>
          <w:tcPr>
            <w:tcW w:type="dxa" w:w="1440"/>
          </w:tcPr>
          <w:p>
            <w:r>
              <w:t>44,615</w:t>
            </w:r>
          </w:p>
        </w:tc>
        <w:tc>
          <w:tcPr>
            <w:tcW w:type="dxa" w:w="1440"/>
          </w:tcPr>
          <w:p>
            <w:r>
              <w:t>93.0%</w:t>
            </w:r>
          </w:p>
        </w:tc>
        <w:tc>
          <w:tcPr>
            <w:tcW w:type="dxa" w:w="1440"/>
          </w:tcPr>
          <w:p>
            <w:r>
              <w:t>92.7%</w:t>
            </w:r>
          </w:p>
        </w:tc>
        <w:tc>
          <w:tcPr>
            <w:tcW w:type="dxa" w:w="1440"/>
          </w:tcPr>
          <w:p>
            <w:r>
              <w:t>0.294</w:t>
            </w:r>
          </w:p>
        </w:tc>
        <w:tc>
          <w:tcPr>
            <w:tcW w:type="dxa" w:w="1440"/>
          </w:tcPr>
          <w:p>
            <w:r>
              <w:t>No</w:t>
            </w:r>
          </w:p>
        </w:tc>
      </w:tr>
      <w:tr>
        <w:tc>
          <w:tcPr>
            <w:tcW w:type="dxa" w:w="1440"/>
          </w:tcPr>
          <w:p>
            <w:r>
              <w:t>Cardiovascular</w:t>
            </w:r>
          </w:p>
        </w:tc>
        <w:tc>
          <w:tcPr>
            <w:tcW w:type="dxa" w:w="1440"/>
          </w:tcPr>
          <w:p>
            <w:r>
              <w:t>47,160</w:t>
            </w:r>
          </w:p>
        </w:tc>
        <w:tc>
          <w:tcPr>
            <w:tcW w:type="dxa" w:w="1440"/>
          </w:tcPr>
          <w:p>
            <w:r>
              <w:t>98.3%</w:t>
            </w:r>
          </w:p>
        </w:tc>
        <w:tc>
          <w:tcPr>
            <w:tcW w:type="dxa" w:w="1440"/>
          </w:tcPr>
          <w:p>
            <w:r>
              <w:t>91.8%</w:t>
            </w:r>
          </w:p>
        </w:tc>
        <w:tc>
          <w:tcPr>
            <w:tcW w:type="dxa" w:w="1440"/>
          </w:tcPr>
          <w:p>
            <w:r>
              <w:t>0.286</w:t>
            </w:r>
          </w:p>
        </w:tc>
        <w:tc>
          <w:tcPr>
            <w:tcW w:type="dxa" w:w="1440"/>
          </w:tcPr>
          <w:p>
            <w:r>
              <w:t>No</w:t>
            </w:r>
          </w:p>
        </w:tc>
      </w:tr>
      <w:tr>
        <w:tc>
          <w:tcPr>
            <w:tcW w:type="dxa" w:w="1440"/>
          </w:tcPr>
          <w:p>
            <w:r>
              <w:t>Liver</w:t>
            </w:r>
          </w:p>
        </w:tc>
        <w:tc>
          <w:tcPr>
            <w:tcW w:type="dxa" w:w="1440"/>
          </w:tcPr>
          <w:p>
            <w:r>
              <w:t>19,273</w:t>
            </w:r>
          </w:p>
        </w:tc>
        <w:tc>
          <w:tcPr>
            <w:tcW w:type="dxa" w:w="1440"/>
          </w:tcPr>
          <w:p>
            <w:r>
              <w:t>40.2%</w:t>
            </w:r>
          </w:p>
        </w:tc>
        <w:tc>
          <w:tcPr>
            <w:tcW w:type="dxa" w:w="1440"/>
          </w:tcPr>
          <w:p>
            <w:r>
              <w:t>97.0%</w:t>
            </w:r>
          </w:p>
        </w:tc>
        <w:tc>
          <w:tcPr>
            <w:tcW w:type="dxa" w:w="1440"/>
          </w:tcPr>
          <w:p>
            <w:r>
              <w:t>0.191</w:t>
            </w:r>
          </w:p>
        </w:tc>
        <w:tc>
          <w:tcPr>
            <w:tcW w:type="dxa" w:w="1440"/>
          </w:tcPr>
          <w:p>
            <w:r>
              <w:t>No</w:t>
            </w:r>
          </w:p>
        </w:tc>
      </w:tr>
    </w:tbl>
    <w:p>
      <w:r>
        <w:rPr>
          <w:b w:val="0"/>
          <w:i/>
          <w:sz w:val="18"/>
        </w:rPr>
        <w:t>Table 11. True 6-hour volatility per axis (`{axis}_delta` in targets.csv, all measured rows, all splits/horizons pooled) alongside measurement frequency. Δ = 6-hour change in the axis's own score. “Beats persistence” restates Table 6's finding.</w:t>
      </w:r>
    </w:p>
    <w:p>
      <w:r>
        <w:rPr>
          <w:b w:val="0"/>
          <w:i w:val="0"/>
        </w:rPr>
        <w:t>The reading this supports: high volatility alone is not sufficient (respiratory has it but is too sparsely measured for a model to learn it reliably), and high measurement frequency alone is not sufficient either (renal, coagulation, and cardiovascular are all well measured but have too little true movement to forecast) -- both conditions together are what neurological uniquely satisfies. This directly supersedes the previous, less complete framing in Discussion 4.4, which treated measurement frequency and volatility as separate candidate explanations to be individually ruled in or out, rather than as a joint condition.</w:t>
      </w:r>
    </w:p>
    <w:p>
      <w:pPr>
        <w:pStyle w:val="Heading2"/>
      </w:pPr>
      <w:r>
        <w:t>3.9 Cardiovascular score degeneracy</w:t>
      </w:r>
    </w:p>
    <w:p>
      <w:r>
        <w:rPr>
          <w:b w:val="0"/>
          <w:i w:val="0"/>
        </w:rPr>
        <w:t>Table 12 compares the FULL value distribution of the cardiovascular score (not just its delta) against renal's -- another axis that loses to persistence (Table 6), chosen specifically because it is NOT subject to any missing-data cap, to test whether the two axes fail for the same reason. They do not. Cardiovascular can only ever take two values, 0 or 1 (`data_prep/scoring.py::cardio_score`, whose own code comment states “2-4 unreachable: no vasopressor data”) -- confirmed empirically: 100% of measured cardiovascular scores are 0 or 1 (73.9% at 1, i.e. min MAP &lt; 70 mmHg somewhere in the window -- a common occurrence over a 24 h window, not a rare event). Renal, with no such cap, spans its full clinical 0-4 range (64.6% / 19.0% / 7.3% / 4.7% / 4.4%). Neurological, which DOES beat persistence, likewise spans its full range with no single value dominating (33.2% / 13.6% / 14.6% / 22.7% / 15.9%).</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Axis</w:t>
            </w:r>
          </w:p>
        </w:tc>
        <w:tc>
          <w:tcPr>
            <w:tcW w:type="dxa" w:w="1234"/>
          </w:tcPr>
          <w:p>
            <w:r>
              <w:rPr>
                <w:b/>
              </w:rPr>
              <w:t>N measured</w:t>
            </w:r>
          </w:p>
        </w:tc>
        <w:tc>
          <w:tcPr>
            <w:tcW w:type="dxa" w:w="1234"/>
          </w:tcPr>
          <w:p>
            <w:r>
              <w:rPr>
                <w:b/>
              </w:rPr>
              <w:t>% at 0</w:t>
            </w:r>
          </w:p>
        </w:tc>
        <w:tc>
          <w:tcPr>
            <w:tcW w:type="dxa" w:w="1234"/>
          </w:tcPr>
          <w:p>
            <w:r>
              <w:rPr>
                <w:b/>
              </w:rPr>
              <w:t>% at 1</w:t>
            </w:r>
          </w:p>
        </w:tc>
        <w:tc>
          <w:tcPr>
            <w:tcW w:type="dxa" w:w="1234"/>
          </w:tcPr>
          <w:p>
            <w:r>
              <w:rPr>
                <w:b/>
              </w:rPr>
              <w:t>% at 2</w:t>
            </w:r>
          </w:p>
        </w:tc>
        <w:tc>
          <w:tcPr>
            <w:tcW w:type="dxa" w:w="1234"/>
          </w:tcPr>
          <w:p>
            <w:r>
              <w:rPr>
                <w:b/>
              </w:rPr>
              <w:t>% at 3</w:t>
            </w:r>
          </w:p>
        </w:tc>
        <w:tc>
          <w:tcPr>
            <w:tcW w:type="dxa" w:w="1234"/>
          </w:tcPr>
          <w:p>
            <w:r>
              <w:rPr>
                <w:b/>
              </w:rPr>
              <w:t>% at 4</w:t>
            </w:r>
          </w:p>
        </w:tc>
      </w:tr>
      <w:tr>
        <w:tc>
          <w:tcPr>
            <w:tcW w:type="dxa" w:w="1234"/>
          </w:tcPr>
          <w:p>
            <w:r>
              <w:t>Cardiovascular (capped)</w:t>
            </w:r>
          </w:p>
        </w:tc>
        <w:tc>
          <w:tcPr>
            <w:tcW w:type="dxa" w:w="1234"/>
          </w:tcPr>
          <w:p>
            <w:r>
              <w:t>47,180</w:t>
            </w:r>
          </w:p>
        </w:tc>
        <w:tc>
          <w:tcPr>
            <w:tcW w:type="dxa" w:w="1234"/>
          </w:tcPr>
          <w:p>
            <w:r>
              <w:t>26.1%</w:t>
            </w:r>
          </w:p>
        </w:tc>
        <w:tc>
          <w:tcPr>
            <w:tcW w:type="dxa" w:w="1234"/>
          </w:tcPr>
          <w:p>
            <w:r>
              <w:t>73.9%</w:t>
            </w:r>
          </w:p>
        </w:tc>
        <w:tc>
          <w:tcPr>
            <w:tcW w:type="dxa" w:w="1234"/>
          </w:tcPr>
          <w:p>
            <w:r>
              <w:t>— (unreachable)</w:t>
            </w:r>
          </w:p>
        </w:tc>
        <w:tc>
          <w:tcPr>
            <w:tcW w:type="dxa" w:w="1234"/>
          </w:tcPr>
          <w:p>
            <w:r>
              <w:t>— (unreachable)</w:t>
            </w:r>
          </w:p>
        </w:tc>
        <w:tc>
          <w:tcPr>
            <w:tcW w:type="dxa" w:w="1234"/>
          </w:tcPr>
          <w:p>
            <w:r>
              <w:t>— (unreachable)</w:t>
            </w:r>
          </w:p>
        </w:tc>
      </w:tr>
      <w:tr>
        <w:tc>
          <w:tcPr>
            <w:tcW w:type="dxa" w:w="1234"/>
          </w:tcPr>
          <w:p>
            <w:r>
              <w:t>Renal (uncapped)</w:t>
            </w:r>
          </w:p>
        </w:tc>
        <w:tc>
          <w:tcPr>
            <w:tcW w:type="dxa" w:w="1234"/>
          </w:tcPr>
          <w:p>
            <w:r>
              <w:t>47,517</w:t>
            </w:r>
          </w:p>
        </w:tc>
        <w:tc>
          <w:tcPr>
            <w:tcW w:type="dxa" w:w="1234"/>
          </w:tcPr>
          <w:p>
            <w:r>
              <w:t>64.6%</w:t>
            </w:r>
          </w:p>
        </w:tc>
        <w:tc>
          <w:tcPr>
            <w:tcW w:type="dxa" w:w="1234"/>
          </w:tcPr>
          <w:p>
            <w:r>
              <w:t>19.0%</w:t>
            </w:r>
          </w:p>
        </w:tc>
        <w:tc>
          <w:tcPr>
            <w:tcW w:type="dxa" w:w="1234"/>
          </w:tcPr>
          <w:p>
            <w:r>
              <w:t>7.3%</w:t>
            </w:r>
          </w:p>
        </w:tc>
        <w:tc>
          <w:tcPr>
            <w:tcW w:type="dxa" w:w="1234"/>
          </w:tcPr>
          <w:p>
            <w:r>
              <w:t>4.7%</w:t>
            </w:r>
          </w:p>
        </w:tc>
        <w:tc>
          <w:tcPr>
            <w:tcW w:type="dxa" w:w="1234"/>
          </w:tcPr>
          <w:p>
            <w:r>
              <w:t>4.4%</w:t>
            </w:r>
          </w:p>
        </w:tc>
      </w:tr>
      <w:tr>
        <w:tc>
          <w:tcPr>
            <w:tcW w:type="dxa" w:w="1234"/>
          </w:tcPr>
          <w:p>
            <w:r>
              <w:t>Neurological (uncapped)</w:t>
            </w:r>
          </w:p>
        </w:tc>
        <w:tc>
          <w:tcPr>
            <w:tcW w:type="dxa" w:w="1234"/>
          </w:tcPr>
          <w:p>
            <w:r>
              <w:t>47,155</w:t>
            </w:r>
          </w:p>
        </w:tc>
        <w:tc>
          <w:tcPr>
            <w:tcW w:type="dxa" w:w="1234"/>
          </w:tcPr>
          <w:p>
            <w:r>
              <w:t>33.2%</w:t>
            </w:r>
          </w:p>
        </w:tc>
        <w:tc>
          <w:tcPr>
            <w:tcW w:type="dxa" w:w="1234"/>
          </w:tcPr>
          <w:p>
            <w:r>
              <w:t>13.6%</w:t>
            </w:r>
          </w:p>
        </w:tc>
        <w:tc>
          <w:tcPr>
            <w:tcW w:type="dxa" w:w="1234"/>
          </w:tcPr>
          <w:p>
            <w:r>
              <w:t>14.6%</w:t>
            </w:r>
          </w:p>
        </w:tc>
        <w:tc>
          <w:tcPr>
            <w:tcW w:type="dxa" w:w="1234"/>
          </w:tcPr>
          <w:p>
            <w:r>
              <w:t>22.7%</w:t>
            </w:r>
          </w:p>
        </w:tc>
        <w:tc>
          <w:tcPr>
            <w:tcW w:type="dxa" w:w="1234"/>
          </w:tcPr>
          <w:p>
            <w:r>
              <w:t>15.9%</w:t>
            </w:r>
          </w:p>
        </w:tc>
      </w:tr>
    </w:tbl>
    <w:p>
      <w:r>
        <w:rPr>
          <w:b w:val="0"/>
          <w:i/>
          <w:sz w:val="18"/>
        </w:rPr>
        <w:t>Table 12. Full score-value distribution, target window, all measured rows pooled. Cardiovascular's cap to two values is a direct, code-level consequence of the missing vasopressor/inotrope data (Section 1.2), not a property shared by every persistence-favouring axis.</w:t>
      </w:r>
    </w:p>
    <w:p>
      <w:r>
        <w:rPr>
          <w:b w:val="0"/>
          <w:i w:val="0"/>
        </w:rPr>
        <w:t>This directly answers whether the missing cardiovascular data explains the finding: YES, specifically for the cardiovascular axis -- being capped at two values mechanically limits the total information any model could possibly extract, regardless of model quality, and this cap is a direct, documented consequence of the data this project does not have. But this mechanism does NOT extend to the other three persistence-favouring axes: renal and coagulation are uncapped and lose to persistence for the volatility reasons in Table 11 (genuinely slow physiological change, not a data-imposed ceiling), and respiratory loses to persistence despite substantial true volatility, for measurement-sparsity reasons. Conflating “missing cardiovascular data” with “why persistence wins overall” would overstate a real but axis-specific limitation into a general one it does not explain.</w:t>
      </w:r>
    </w:p>
    <w:p>
      <w:pPr>
        <w:pStyle w:val="Heading2"/>
      </w:pPr>
      <w:r>
        <w:t>3.10 Risk-stratification value of the deterioration classifier</w:t>
      </w:r>
    </w:p>
    <w:p>
      <w:r>
        <w:rPr>
          <w:b w:val="0"/>
          <w:i w:val="0"/>
        </w:rPr>
        <w:t>Table 13 translates the deterioration classifier's discrimination (Table 7) into a concrete, intuitive statement of practical value: of the patients who actually deteriorate, what fraction would be caught by monitoring only the model's highest-risk slice of checkpoints. Flagging just the riskiest 10% of test-split (record, decision-time) rows captures 48.8% of all true deterioration events -- almost 11 times better than flagging 10% of rows at random (lift 10.8x); flagging the riskiest 20% captures 67.6% of events (lift 15.0x). This is the model's answer to “how does this help”: not a claim of clinical validation, but a quantified, order-of-magnitude statement of how much more efficiently a fixed monitoring or review budget could be targeted using this signal instead of treating every checkpoint identically.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Top fraction flagged</w:t>
            </w:r>
          </w:p>
        </w:tc>
        <w:tc>
          <w:tcPr>
            <w:tcW w:type="dxa" w:w="1728"/>
          </w:tcPr>
          <w:p>
            <w:r>
              <w:rPr>
                <w:b/>
              </w:rPr>
              <w:t>N flagged</w:t>
            </w:r>
          </w:p>
        </w:tc>
        <w:tc>
          <w:tcPr>
            <w:tcW w:type="dxa" w:w="1728"/>
          </w:tcPr>
          <w:p>
            <w:r>
              <w:rPr>
                <w:b/>
              </w:rPr>
              <w:t>True deteriorations captured</w:t>
            </w:r>
          </w:p>
        </w:tc>
        <w:tc>
          <w:tcPr>
            <w:tcW w:type="dxa" w:w="1728"/>
          </w:tcPr>
          <w:p>
            <w:r>
              <w:rPr>
                <w:b/>
              </w:rPr>
              <w:t>Capture rate (95% CI)</w:t>
            </w:r>
          </w:p>
        </w:tc>
        <w:tc>
          <w:tcPr>
            <w:tcW w:type="dxa" w:w="1728"/>
          </w:tcPr>
          <w:p>
            <w:r>
              <w:rPr>
                <w:b/>
              </w:rPr>
              <w:t>Lift over random</w:t>
            </w:r>
          </w:p>
        </w:tc>
      </w:tr>
      <w:tr>
        <w:tc>
          <w:tcPr>
            <w:tcW w:type="dxa" w:w="1728"/>
          </w:tcPr>
          <w:p>
            <w:r>
              <w:t>5%</w:t>
            </w:r>
          </w:p>
        </w:tc>
        <w:tc>
          <w:tcPr>
            <w:tcW w:type="dxa" w:w="1728"/>
          </w:tcPr>
          <w:p>
            <w:r>
              <w:t>359</w:t>
            </w:r>
          </w:p>
        </w:tc>
        <w:tc>
          <w:tcPr>
            <w:tcW w:type="dxa" w:w="1728"/>
          </w:tcPr>
          <w:p>
            <w:r>
              <w:t>118 of 324</w:t>
            </w:r>
          </w:p>
        </w:tc>
        <w:tc>
          <w:tcPr>
            <w:tcW w:type="dxa" w:w="1728"/>
          </w:tcPr>
          <w:p>
            <w:r>
              <w:t>36.4% (32.3%, 41.4%)</w:t>
            </w:r>
          </w:p>
        </w:tc>
        <w:tc>
          <w:tcPr>
            <w:tcW w:type="dxa" w:w="1728"/>
          </w:tcPr>
          <w:p>
            <w:r>
              <w:t>8.1x</w:t>
            </w:r>
          </w:p>
        </w:tc>
      </w:tr>
      <w:tr>
        <w:tc>
          <w:tcPr>
            <w:tcW w:type="dxa" w:w="1728"/>
          </w:tcPr>
          <w:p>
            <w:r>
              <w:t>10%</w:t>
            </w:r>
          </w:p>
        </w:tc>
        <w:tc>
          <w:tcPr>
            <w:tcW w:type="dxa" w:w="1728"/>
          </w:tcPr>
          <w:p>
            <w:r>
              <w:t>719</w:t>
            </w:r>
          </w:p>
        </w:tc>
        <w:tc>
          <w:tcPr>
            <w:tcW w:type="dxa" w:w="1728"/>
          </w:tcPr>
          <w:p>
            <w:r>
              <w:t>158 of 324</w:t>
            </w:r>
          </w:p>
        </w:tc>
        <w:tc>
          <w:tcPr>
            <w:tcW w:type="dxa" w:w="1728"/>
          </w:tcPr>
          <w:p>
            <w:r>
              <w:t>48.8% (43.8%, 54.0%)</w:t>
            </w:r>
          </w:p>
        </w:tc>
        <w:tc>
          <w:tcPr>
            <w:tcW w:type="dxa" w:w="1728"/>
          </w:tcPr>
          <w:p>
            <w:r>
              <w:t>10.8x</w:t>
            </w:r>
          </w:p>
        </w:tc>
      </w:tr>
      <w:tr>
        <w:tc>
          <w:tcPr>
            <w:tcW w:type="dxa" w:w="1728"/>
          </w:tcPr>
          <w:p>
            <w:r>
              <w:t>20%</w:t>
            </w:r>
          </w:p>
        </w:tc>
        <w:tc>
          <w:tcPr>
            <w:tcW w:type="dxa" w:w="1728"/>
          </w:tcPr>
          <w:p>
            <w:r>
              <w:t>1,437</w:t>
            </w:r>
          </w:p>
        </w:tc>
        <w:tc>
          <w:tcPr>
            <w:tcW w:type="dxa" w:w="1728"/>
          </w:tcPr>
          <w:p>
            <w:r>
              <w:t>219 of 324</w:t>
            </w:r>
          </w:p>
        </w:tc>
        <w:tc>
          <w:tcPr>
            <w:tcW w:type="dxa" w:w="1728"/>
          </w:tcPr>
          <w:p>
            <w:r>
              <w:t>67.6% (62.3%, 72.2%)</w:t>
            </w:r>
          </w:p>
        </w:tc>
        <w:tc>
          <w:tcPr>
            <w:tcW w:type="dxa" w:w="1728"/>
          </w:tcPr>
          <w:p>
            <w:r>
              <w:t>15.0x</w:t>
            </w:r>
          </w:p>
        </w:tc>
      </w:tr>
    </w:tbl>
    <w:p>
      <w:r>
        <w:rPr>
          <w:b w:val="0"/>
          <w:i/>
          <w:sz w:val="18"/>
        </w:rPr>
        <w:t>Table 13. Risk-stratification capture rate and lift, HistGB deterioration classifier, test split (n = 7,187, prevalence 4.5%, 324 true deterioration events).</w:t>
      </w:r>
    </w:p>
    <w:p>
      <w:pPr>
        <w:pStyle w:val="Heading2"/>
      </w:pPr>
      <w:r>
        <w:t>3.11 Summary against the study hypotheses</w:t>
      </w:r>
    </w:p>
    <w:p>
      <w:r>
        <w:rPr>
          <w:b w:val="0"/>
          <w:i w:val="0"/>
        </w:rPr>
        <w:t>Table 14 resolves each of the four hypotheses posed in Section 1.3 against the results above, before the mechanisms behind them are discussed in Section 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Hypothesis</w:t>
            </w:r>
          </w:p>
        </w:tc>
        <w:tc>
          <w:tcPr>
            <w:tcW w:type="dxa" w:w="2880"/>
          </w:tcPr>
          <w:p>
            <w:r>
              <w:rPr>
                <w:b/>
              </w:rPr>
              <w:t>Verdict</w:t>
            </w:r>
          </w:p>
        </w:tc>
        <w:tc>
          <w:tcPr>
            <w:tcW w:type="dxa" w:w="2880"/>
          </w:tcPr>
          <w:p>
            <w:r>
              <w:rPr>
                <w:b/>
              </w:rPr>
              <w:t>Evidence</w:t>
            </w:r>
          </w:p>
        </w:tc>
      </w:tr>
      <w:tr>
        <w:tc>
          <w:tcPr>
            <w:tcW w:type="dxa" w:w="2880"/>
          </w:tcPr>
          <w:p>
            <w:r>
              <w:t>H1 -- ML adds information beyond persistence for total SOFA</w:t>
            </w:r>
          </w:p>
        </w:tc>
        <w:tc>
          <w:tcPr>
            <w:tcW w:type="dxa" w:w="2880"/>
          </w:tcPr>
          <w:p>
            <w:r>
              <w:t>Supported</w:t>
            </w:r>
          </w:p>
        </w:tc>
        <w:tc>
          <w:tcPr>
            <w:tcW w:type="dxa" w:w="2880"/>
          </w:tcPr>
          <w:p>
            <w:r>
              <w:t>4 of 5 families beat persistence at all 4 horizons, both splits (Table 5); ordinal lowest MAE at every horizon; delta-specific accuracy (Table 10) confirms genuine trajectory tracking; risk-stratification capture rate (Table 13) shows the corresponding classifier translates into a concrete, order-of-magnitude practical value, not just a statistically significant one.</w:t>
            </w:r>
          </w:p>
        </w:tc>
      </w:tr>
      <w:tr>
        <w:tc>
          <w:tcPr>
            <w:tcW w:type="dxa" w:w="2880"/>
          </w:tcPr>
          <w:p>
            <w:r>
              <w:t>H2 -- the gain is heterogeneous across organ axes, not uniform</w:t>
            </w:r>
          </w:p>
        </w:tc>
        <w:tc>
          <w:tcPr>
            <w:tcW w:type="dxa" w:w="2880"/>
          </w:tcPr>
          <w:p>
            <w:r>
              <w:t>Strongly supported and mechanistically explained</w:t>
            </w:r>
          </w:p>
        </w:tc>
        <w:tc>
          <w:tcPr>
            <w:tcW w:type="dxa" w:w="2880"/>
          </w:tcPr>
          <w:p>
            <w:r>
              <w:t>Only the neurological axis shows a clear, horizon-consistent improvement (Tables 6, 9). Table 11 explains why: neurological is the only axis with both high true volatility AND high measurement frequency; every other axis fails at least one condition. Table 12 further shows the cardiovascular axis's failure has a distinct, data-imposed cause (Section 3.9) not shared by the others.</w:t>
            </w:r>
          </w:p>
        </w:tc>
      </w:tr>
      <w:tr>
        <w:tc>
          <w:tcPr>
            <w:tcW w:type="dxa" w:w="2880"/>
          </w:tcPr>
          <w:p>
            <w:r>
              <w:t>H3 -- incremental value depends on target formulation, not just non-linearity/complexity</w:t>
            </w:r>
          </w:p>
        </w:tc>
        <w:tc>
          <w:tcPr>
            <w:tcW w:type="dxa" w:w="2880"/>
          </w:tcPr>
          <w:p>
            <w:r>
              <w:t>Supported</w:t>
            </w:r>
          </w:p>
        </w:tc>
        <w:tc>
          <w:tcPr>
            <w:tcW w:type="dxa" w:w="2880"/>
          </w:tcPr>
          <w:p>
            <w:r>
              <w:t>The plain linear baseline (delta target) loses to persistence at 3 of 4 horizons, so non-linearity clearly matters relative to linear. But formulation matters beyond that: a controlled ablation (Table 8, Section 3.7) shows the SAME base learner (HistGB) does WORSE when predicting the absolute score than when predicting the delta -- so “more complex” and “better formulated” are not the same axis of variation, and ordinal's advantage survives the ablation rather than being explained away by it.</w:t>
            </w:r>
          </w:p>
        </w:tc>
      </w:tr>
      <w:tr>
        <w:tc>
          <w:tcPr>
            <w:tcW w:type="dxa" w:w="2880"/>
          </w:tcPr>
          <w:p>
            <w:r>
              <w:t>H4 -- the same information discriminates clinically meaningful deterioration</w:t>
            </w:r>
          </w:p>
        </w:tc>
        <w:tc>
          <w:tcPr>
            <w:tcW w:type="dxa" w:w="2880"/>
          </w:tcPr>
          <w:p>
            <w:r>
              <w:t>Supported for discrimination; not established for calibration</w:t>
            </w:r>
          </w:p>
        </w:tc>
        <w:tc>
          <w:tcPr>
            <w:tcW w:type="dxa" w:w="2880"/>
          </w:tcPr>
          <w:p>
            <w:r>
              <w:t>AUROC 0.78-0.84 and AUPRC 4-7x the no-skill reference for every classifier variant (Table 7), but the highest-risk decile's predicted probability (0.70) overstates its observed rate (0.22) -- Section 3.5 -- so the classifiers rank risk well without their raw probabilities yet being trustworthy as percentages; Table 13's capture rate is a ranking-based measure of value and is unaffected by this miscalibration.</w:t>
            </w:r>
          </w:p>
        </w:tc>
      </w:tr>
    </w:tbl>
    <w:p>
      <w:r>
        <w:rPr>
          <w:b w:val="0"/>
          <w:i/>
          <w:sz w:val="18"/>
        </w:rPr>
        <w:t>Table 14. Verdict on each pre-specified hypothesis (Section 1.3), against Tables 5-13.</w:t>
      </w:r>
    </w:p>
    <w:p>
      <w:r>
        <w:br w:type="page"/>
      </w:r>
    </w:p>
    <w:p>
      <w:pPr>
        <w:pStyle w:val="Heading1"/>
      </w:pPr>
      <w:r>
        <w:t>4. Discussion</w:t>
      </w:r>
    </w:p>
    <w:p>
      <w:pPr>
        <w:pStyle w:val="Heading2"/>
      </w:pPr>
      <w:r>
        <w:t>4.1 Positioning: an incremental-value and attribution study</w:t>
      </w:r>
    </w:p>
    <w:p>
      <w:r>
        <w:rPr>
          <w:b w:val="0"/>
          <w:i w:val="0"/>
        </w:rPr>
        <w:t>This work does not propose a new model architecture, and the five-family comparison is not itself the contribution -- a reviewer could reasonably ask why five MAE numbers matter. The contribution is Table 14's answer to H1-H2: persistence is a strong, non-trivial baseline for this task, machine learning clearly adds information beyond it in aggregate, and that added information is concentrated in one organ axis rather than spread evenly across all six. Establishing where forecasting value exists -- and, just as importantly, where it does not (Section 4.4) -- is itself the finding, independent of which specific gradient-boosted-tree engine was used to demonstrate it. Likewise, TRIPOD+AI compliance (Collins et al., 2024) is a property of how this work is reported, not a scientific claim in its own right.</w:t>
      </w:r>
    </w:p>
    <w:p>
      <w:r>
        <w:rPr>
          <w:b w:val="0"/>
          <w:i w:val="0"/>
        </w:rPr>
        <w:t>How does this help, concretely? Table 13's answer is deliberately modest but concrete: flagging just the riskiest 10% of (patient, decision-time) checkpoints by the deterioration classifier's predicted probability would have captured 48.8% of every true deterioration event in the test set -- roughly 11 times more efficient than flagging 10% of checkpoints at random. This is not a claim that the model should direct care, nor that it has been validated for that use (Section 4.6) -- it is a quantified statement of how much more efficiently a fixed monitoring or chart-review budget could, in principle, be targeted using this signal instead of treating every checkpoint identically. That is the concrete form the paper's abstract “incremental value beyond persistence” claim takes in practice.</w:t>
      </w:r>
    </w:p>
    <w:p>
      <w:pPr>
        <w:pStyle w:val="Heading2"/>
      </w:pPr>
      <w:r>
        <w:t>4.2 Principal findings</w:t>
      </w:r>
    </w:p>
    <w:p>
      <w:r>
        <w:rPr>
          <w:b w:val="0"/>
          <w:i w:val="0"/>
        </w:rPr>
        <w:t>Four of five model families clearly beat naive persistence at forecasting total SOFA six hours ahead, at every horizon tested, using only routinely-collected vitals and laboratory data. Among the formulations tested, the ordinal decomposition (Frank &amp; Hall, 2001) produced the lowest total-SOFA MAE at every horizon -- including against a controlled ablation (Section 3.7) that rules out the obvious confound that this simply reflects predicting the absolute score rather than a delta, rather than the ordinal decomposition itself. This is a genuinely useful empirical result, not merely a theoretical preference, though the exact mechanism by which the decomposition helps is not further isolated here (Section 4.3). The one family that failed to hold up past the earliest horizon was the plain linear baseline, which is itself an informative result: it demonstrates that the non-linear families' added complexity is earning its keep, rather than being an unnecessary sophistication.</w:t>
      </w:r>
    </w:p>
    <w:p>
      <w:pPr>
        <w:pStyle w:val="Heading2"/>
      </w:pPr>
      <w:r>
        <w:t>4.3 Why does the ordinal decomposition win?</w:t>
      </w:r>
    </w:p>
    <w:p>
      <w:r>
        <w:rPr>
          <w:b w:val="0"/>
          <w:i w:val="0"/>
        </w:rPr>
        <w:t>Two properties were candidates to explain the ordinal family's advantage: (i) it predicts the absolute target score directly rather than via the delta trick the other four families rely on, so it is not forced through an intermediate quantity whose own noise must be added back to SOFA_now; (ii) decomposing a 0-4 ordinal outcome into four binary “has this patient already crossed threshold k” questions lets each threshold classifier specialise, rather than asking one regressor to fit a single continuous function across the whole range. These are not the same claim, and conflating them was a real risk this report's first draft did not fully avoid: histgb, linear, catboost, and lightgbm all predict a delta, while ordinal both predicts the absolute score AND uses the cumulative-binary decomposition, so the headline five-family comparison alone cannot tell (i) and (ii) apart.</w:t>
      </w:r>
    </w:p>
    <w:p>
      <w:r>
        <w:rPr>
          <w:b w:val="0"/>
          <w:i w:val="0"/>
        </w:rPr>
        <w:t>The Section 3.7 ablation resolves this directly. If (i) alone explained ordinal's advantage, a plain HistGB regressor retargeted to predict the absolute score (histgb+absolute) should have closed most of the gap to ordinal. It does not: histgb+absolute is WORSE than histgb+delta at every horizon and every axis (Tables 8-9), not better. Predicting the absolute target directly is, if anything, the harder regression problem for a plain regressor here -- plausibly because the delta's distribution is more concentrated near zero (most 6-hour windows involve little true change), which a plain regressor exploits more easily than the wider-range absolute score. Ordinal's advantage therefore survives a direct test of explanation (i) and is attributable to (ii), the cumulative-binary decomposition itself, not to the fact that it happens to also predict the absolute score. This is not unique to gradient-boosted trees as the base learner for the threshold classifiers, though this project only tested the decomposition with one (Section 4.7, future work).</w:t>
      </w:r>
    </w:p>
    <w:p>
      <w:pPr>
        <w:pStyle w:val="Heading2"/>
      </w:pPr>
      <w:r>
        <w:t>4.4 Why the improvement concentrates in the neurological axis</w:t>
      </w:r>
    </w:p>
    <w:p>
      <w:r>
        <w:rPr>
          <w:b w:val="0"/>
          <w:i w:val="0"/>
        </w:rPr>
        <w:t>Section 3.3's finding -- that persistence is competitive with or better than every trained family for five of six axes, and the neurological axis alone accounts for essentially all of the total-score improvement -- supersedes an earlier, less precise characterisation recorded in the notebook's Discussion section, which described “neuro, renal and coagulation” as all showing substantial value; the horizon-averaged numbers in Table 6 do not support that for renal or coagulation, and this report's numbers should be treated as the corrected version.</w:t>
      </w:r>
    </w:p>
    <w:p>
      <w:r>
        <w:rPr>
          <w:b w:val="0"/>
          <w:i w:val="0"/>
        </w:rPr>
        <w:t>Table 11 (Section 3.8) resolves the mechanism decisively, on the outcome side rather than the model side: it is a JOINT condition, not either factor alone. Two candidate explanations were checked individually first, and neither was sufficient by itself:</w:t>
      </w:r>
    </w:p>
    <w:p>
      <w:pPr>
        <w:pStyle w:val="ListBullet"/>
      </w:pPr>
      <w:r>
        <w:t>Measurement frequency alone is not sufficient. Neurological is measured in 98.2% of rows -- statistically indistinguishable from cardiovascular (98.3%) and renal (98.5%), both of which fail to beat persistence. Measured frequently is necessary but clearly not sufficient on its own.</w:t>
      </w:r>
    </w:p>
    <w:p>
      <w:pPr>
        <w:pStyle w:val="ListBullet"/>
      </w:pPr>
      <w:r>
        <w:t>True volatility alone is not sufficient either. Respiratory has almost exactly neurological's true 6-hour volatility (std(delta) 0.571 vs. 0.764; 81.2% vs. 81.3% of windows with zero change) -- genuinely volatile, yet respiratory does not improve on persistence.</w:t>
      </w:r>
    </w:p>
    <w:p>
      <w:r>
        <w:rPr>
          <w:b w:val="0"/>
          <w:i w:val="0"/>
        </w:rPr>
        <w:t>What Table 11 shows is that these two conditions must hold TOGETHER, and neurological is the only axis where they do. Respiratory has the volatility but not the measurement frequency (only 45.7% of rows), so there is real signal a model could in principle learn, but not enough reliable training data to learn it from. Renal, coagulation, and cardiovascular have the measurement frequency but not the volatility (91.8-93.4% of windows show zero true change) -- there is simply very little for any model, however good, to add over “assume no change.” Liver fails both conditions simultaneously (97.0% zero-change, only 40.2% measured) and is, unsurprisingly, the axis persistence wins by the widest relative margin. This reframes measurement frequency from a “ruled out” explanation (as an earlier draft of this analysis treated it) to one half of the correct joint explanation.</w:t>
      </w:r>
    </w:p>
    <w:p>
      <w:r>
        <w:rPr>
          <w:b w:val="0"/>
          <w:i w:val="0"/>
        </w:rPr>
        <w:t>A second, corroborating piece of evidence, already computed by the primary family and not requiring any new training, is the per-axis permutation-importance table (notebook cell `sf39`). For the neurological axis, importance is spread across several genuinely distinct GCS-derived features -- the current value (`v_GCS_last`, importance 0.198), the window mean (0.169), the window standard deviation (0.134, i.e. variability itself carries signal), the first value and 12-hour slope (0.058, 0.052) -- plus mechanical-ventilation and blood-gas timing features, together contributing roughly as much combined importance as the current SOFA_now anchor itself (0.924). For the renal and cardiovascular axes, by contrast, importance is heavily concentrated in one or two current-state features with a steep drop-off: renal's SOFA_now anchor (4.171) and last creatinine value (2.305) dwarf every other feature (all below 0.09); cardiovascular's SOFA_now anchor (0.591) and one blood-pressure-threshold feature (0.247) dominate similarly. This is consistent with, and gives a feature-level mechanism for, Table 11's volatility finding: the neurological model has genuine within-window trajectory information to draw on and does so, while the renal and cardiovascular models have, in effect, learned a sophisticated version of persistence itself, because there is little else in a low-volatility target for them to learn.</w:t>
      </w:r>
    </w:p>
    <w:p>
      <w:pPr>
        <w:pStyle w:val="Heading2"/>
      </w:pPr>
      <w:r>
        <w:t>4.5 The cardiovascular-axis ceiling</w:t>
      </w:r>
    </w:p>
    <w:p>
      <w:r>
        <w:rPr>
          <w:b w:val="0"/>
          <w:i w:val="0"/>
        </w:rPr>
        <w:t>As anticipated (Section 1.2), the cardiovascular axis performs worst, relatively, of any trained family against persistence (Table 6) -- every family's average MAE there is roughly 50% higher than persistence's. Table 12 (Section 3.9) confirms, directly and quantitatively, that the missing vasopressor/inotrope data is specifically responsible: `data_prep/scoring.py::cardio_score`'s own code comment states “2-4 unreachable: no vasopressor data,” and empirically 100% of measured cardiovascular scores are indeed either 0 or 1 -- no model, however good, can extract more than a binary distinction's worth of information from a target that can only ever take two values. This is a property of the dataset, not of the modelling approach, and is not expected to improve without access to medication data (Section 4.7).</w:t>
      </w:r>
    </w:p>
    <w:p>
      <w:r>
        <w:rPr>
          <w:b w:val="0"/>
          <w:i w:val="0"/>
        </w:rPr>
        <w:t>It is important to be precise about what this does and does not explain. It is the specific, documented mechanism for the cardiovascular axis alone -- not a general explanation for why persistence wins on five of six axes (Section 4.4). Renal and coagulation are NOT subject to any missing-data cap (Table 12 shows renal spans its full clinical 0-4 range) and lose to persistence for a different reason entirely: genuinely slow physiological change, the same volatility argument as Section 4.4, not a data limitation. Treating “missing cardiovascular data” as the explanation for the paper's broader axis-heterogeneity finding would overstate a real, but axis-specific, limitation.</w:t>
      </w:r>
    </w:p>
    <w:p>
      <w:pPr>
        <w:pStyle w:val="Heading2"/>
      </w:pPr>
      <w:r>
        <w:t>4.6 Limitations</w:t>
      </w:r>
    </w:p>
    <w:p>
      <w:pPr>
        <w:pStyle w:val="ListBullet"/>
      </w:pPr>
      <w:r>
        <w:t>Single-centre-era, single-dataset internal validation only; no external validation on a different hospital, ICU population, or era has been attempted.</w:t>
      </w:r>
    </w:p>
    <w:p>
      <w:pPr>
        <w:pStyle w:val="ListBullet"/>
      </w:pPr>
      <w:r>
        <w:t>The cardiovascular axis cannot exceed 1 anywhere in this project; every downstream number -- including the total-SOFA figures in Table 5 -- inherits that ceiling.</w:t>
      </w:r>
    </w:p>
    <w:p>
      <w:pPr>
        <w:pStyle w:val="ListBullet"/>
      </w:pPr>
      <w:r>
        <w:t>Eighteen of the twenty-four target-window hours are already observed at prediction time, so all reported MAEs include a large “nothing changed” component; the delta figures (not reproduced in this summary report; see the notebook) isolate the genuinely forecastable part more precisely.</w:t>
      </w:r>
    </w:p>
    <w:p>
      <w:pPr>
        <w:pStyle w:val="ListBullet"/>
      </w:pPr>
      <w:r>
        <w:t>The deterioration outcome is rare (~4%); classifier performance estimates are correspondingly less precise (Table 7's confidence intervals), and none of the four classifiers is well calibrated in absolute-probability terms (Section 3.5).</w:t>
      </w:r>
    </w:p>
    <w:p>
      <w:pPr>
        <w:pStyle w:val="ListBullet"/>
      </w:pPr>
      <w:r>
        <w:t>The ordinal family's advantage is measured under the same missing-axis fallback gate applied to every family (Section 2.9); its classifiers could, in principle, guess a nonzero score from indirect evidence even when an axis's current-state score is missing, a capability this report's headline comparison does not exercise, so ordinal's true relative advantage may be understated rather than overstated here.</w:t>
      </w:r>
    </w:p>
    <w:p>
      <w:pPr>
        <w:pStyle w:val="ListBullet"/>
      </w:pPr>
      <w:r>
        <w:t>No formal fairness-metric stratification by age or sex has been carried out; this cohort's size may not support stable subgroup estimates once split by both age band and sex simultaneously.</w:t>
      </w:r>
    </w:p>
    <w:p>
      <w:pPr>
        <w:pStyle w:val="ListBullet"/>
      </w:pPr>
      <w:r>
        <w:t>No accrual dates exist in the de-identified data, so temporal drift or seasonality cannot be assessed.</w:t>
      </w:r>
    </w:p>
    <w:p>
      <w:pPr>
        <w:pStyle w:val="Heading2"/>
      </w:pPr>
      <w:r>
        <w:t>4.7 Future work</w:t>
      </w:r>
    </w:p>
    <w:p>
      <w:pPr>
        <w:pStyle w:val="ListNumber"/>
      </w:pPr>
      <w:r>
        <w:t>A per-record (rather than population-pooled) volatility measure -- e.g. does a patient's OWN recent neurological volatility predict how forecastable their trajectory specifically is -- to extend Table 11's population-level finding to individualised uncertainty estimates.</w:t>
      </w:r>
    </w:p>
    <w:p>
      <w:pPr>
        <w:pStyle w:val="ListNumber"/>
      </w:pPr>
      <w:r>
        <w:t>External validation on a different ICU population or era.</w:t>
      </w:r>
    </w:p>
    <w:p>
      <w:pPr>
        <w:pStyle w:val="ListNumber"/>
      </w:pPr>
      <w:r>
        <w:t>Incorporating real vasopressor/inotrope data, if it ever becomes available for this or a comparable cohort, to properly resolve the cardiovascular axis.</w:t>
      </w:r>
    </w:p>
    <w:p>
      <w:pPr>
        <w:pStyle w:val="ListNumber"/>
      </w:pPr>
      <w:r>
        <w:t>A fairness audit stratified by age and sex once a larger cohort permits stable subgroup estimates.</w:t>
      </w:r>
    </w:p>
    <w:p>
      <w:pPr>
        <w:pStyle w:val="ListNumber"/>
      </w:pPr>
      <w:r>
        <w:t>Recalibrating the deterioration classifiers (Platt scaling or isotonic regression) before any use of their raw probability output as a risk percentage.</w:t>
      </w:r>
    </w:p>
    <w:p>
      <w:pPr>
        <w:pStyle w:val="ListNumber"/>
      </w:pPr>
      <w:r>
        <w:t>An ablation re-running the ordinal family without the missing-axis fallback gate, to quantify what its “predict from indirect evidence” capability is worth on its own.</w:t>
      </w:r>
    </w:p>
    <w:p>
      <w:pPr>
        <w:pStyle w:val="ListNumber"/>
      </w:pPr>
      <w:r>
        <w:t>Extending the ordinal decomposition with an explicit monotonicity constraint across its four thresholds (not enforced in the current implementation).</w:t>
      </w:r>
    </w:p>
    <w:p>
      <w:pPr>
        <w:pStyle w:val="ListNumber"/>
      </w:pPr>
      <w:r>
        <w:t>A lightly-regularized or feature-interaction-aware linear variant, to determine whether the plain linear baseline's loss to persistence past h24 is a property of linear models in general or just of the specific Ridge configuration tried here.</w:t>
      </w:r>
    </w:p>
    <w:p>
      <w:pPr>
        <w:pStyle w:val="ListNumber"/>
      </w:pPr>
      <w:r>
        <w:t>The dataset-provided outcomes.csv vs. this project's own feature set ablation (with and without engineered proxies for cardiovascular status) -- Table 12 already quantifies the cardiovascular axis's information ceiling directly from the score-cap mechanism; this remaining ablation would test whether any indirect proxy signal for pressor use exists in the routinely-collected vitals themselves, beyond what the binary score already captures.</w:t>
      </w:r>
    </w:p>
    <w:p>
      <w:pPr>
        <w:pStyle w:val="ListNumber"/>
      </w:pPr>
      <w:r>
        <w:t>A prospective study of whether risk-stratified monitoring (Section 4.1, Table 13) changes actual clinical decisions or outcomes -- the capture-rate analysis is retrospective and demonstrates ranking value only, not clinical utility.</w:t>
      </w:r>
    </w:p>
    <w:p>
      <w:r>
        <w:br w:type="page"/>
      </w:r>
    </w:p>
    <w:p>
      <w:pPr>
        <w:pStyle w:val="Heading1"/>
      </w:pPr>
      <w:r>
        <w:t>5. Conclusion</w:t>
      </w:r>
    </w:p>
    <w:p>
      <w:r>
        <w:rPr>
          <w:b w:val="0"/>
          <w:i w:val="0"/>
        </w:rPr>
        <w:t>Returning to the question posed in Section 1.3: short-horizon machine-learning forecasting of rolling SOFA does add information beyond persistence (H1), but that added value is concentrated in one organ axis rather than distributed evenly across all six (H2) -- the central, and most easily overlooked, finding of this work (Table 14).</w:t>
      </w:r>
    </w:p>
    <w:p>
      <w:r>
        <w:rPr>
          <w:b w:val="0"/>
          <w:i w:val="0"/>
        </w:rPr>
        <w:t>Forecasting a patient's rolling SOFA score six hours ahead is achievable from routinely available physiological and laboratory measurements and features derived from them, without any medication data, and clearly outperforms the naive assumption that nothing changes; among the formulations tested here, the ordinal decomposition produced the lowest error, a result a controlled ablation shows is not simply an artefact of predicting the absolute score rather than a delta. The gain is not uniform across organ systems: it is driven almost entirely by the neurological axis, while the cardiovascular axis remains fundamentally constrained by a genuine gap in the available data rather than by any deficiency in the modelling approach. A secondary deterioration classifier shows real, clinically meaningful discrimination but requires recalibration before its output could be read as a literal probability. Both findings -- the concentration of forecast skill in one axis, and the well-discriminating-but-poorly-calibrated classifier -- would not have surfaced from a single aggregate accuracy number, underscoring the value of the six-axis decomposition and the discrimination/calibration split adopted throughout this project.</w:t>
      </w:r>
    </w:p>
    <w:p>
      <w:pPr>
        <w:pStyle w:val="Heading1"/>
      </w:pPr>
      <w:r>
        <w:t>References</w:t>
      </w:r>
    </w:p>
    <w:p>
      <w:r>
        <w:rPr>
          <w:b w:val="0"/>
          <w:i w:val="0"/>
        </w:rPr>
        <w:t>Collins GS, Moons KGM, Dhiman P, et al. TRIPOD+AI statement: updated guidance for reporting clinical prediction models that use regression or machine learning methods. BMJ. 2024;385:e078378.</w:t>
      </w:r>
    </w:p>
    <w:p>
      <w:r>
        <w:rPr>
          <w:b w:val="0"/>
          <w:i w:val="0"/>
        </w:rPr>
        <w:t>Frank E, Hall M. A simple approach to ordinal classification. In: Proceedings of the 12th European Conference on Machine Learning (ECML 2001). Springer; 2001:145-156.</w:t>
      </w:r>
    </w:p>
    <w:p>
      <w:r>
        <w:rPr>
          <w:b w:val="0"/>
          <w:i w:val="0"/>
        </w:rPr>
        <w:t>Saito T, Rehmsmeier M. The precision-recall plot is more informative than the ROC plot when evaluating binary classifiers on imbalanced datasets. PLOS ONE. 2015;10(3):e0118432.</w:t>
      </w:r>
    </w:p>
    <w:p>
      <w:r>
        <w:rPr>
          <w:b w:val="0"/>
          <w:i w:val="0"/>
        </w:rPr>
        <w:t>Silva I, Moody G, Scott DJ, Celi LA, Mark RG. Predicting in-hospital mortality of ICU patients: the PhysioNet/Computing in Cardiology Challenge 2012. Comput Cardiol. 2012;39:245-248.</w:t>
      </w:r>
    </w:p>
    <w:p>
      <w:r>
        <w:rPr>
          <w:b w:val="0"/>
          <w:i w:val="0"/>
        </w:rPr>
        <w:t>Vincent JL, Moreno R, Takala J, et al. The SOFA (Sepsis-related Organ Failure Assessment) score to describe organ dysfunction/failure. Intensive Care Med. 1996;22(7):707-710.</w:t>
      </w:r>
    </w:p>
    <w:p>
      <w:pPr>
        <w:pStyle w:val="Heading1"/>
      </w:pPr>
      <w:r>
        <w:t>Data and code availability</w:t>
      </w:r>
    </w:p>
    <w:p>
      <w:r>
        <w:rPr>
          <w:b w:val="0"/>
          <w:i w:val="0"/>
        </w:rPr>
        <w:t>Data: PhysioNet/Computing in Cardiology Challenge 2012, Set A (public, physionet.org). Code: github.com/398-21/healthcare-ai-assin, including modeling/data_prep/, modeling/models/ (ordinal.py, linear.py, histgb.py, histgb_absolute.py -- the Section 2.10 ablation, catboost_model.py, lightgbm_model.py), modeling/evaluate.py, and modeling/sofa_forecasting.ipynb -- the executed notebook this report summarises.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