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pPr>
      <w:r>
        <w:rPr>
          <w:b/>
          <w:color w:val="7030A0"/>
        </w:rPr>
        <w:t>Ding: The project forecasts a rolling 24-hour proxy-SOFA score ending at T+6, using only measurements before T. The secondary label is 1 when that score minus SOFA_now (the score over [T-24,T)) is at least 2. These windows overlap for 18 hours, so this label is not an acute deterioration event in the next 6 hours or a validated early-warning outcome. The historical text below is preserved for review.</w:t>
      </w:r>
    </w:p>
    <w:p w14:paraId="0593ED1C">
      <w:pPr>
        <w:pStyle w:val="36"/>
      </w:pPr>
      <w:r>
        <w:t>超越持续性假设：ICU患者短时程SOFA评分预测中的</w:t>
      </w:r>
      <w:r>
        <w:br w:type="textWrapping"/>
      </w:r>
      <w:r>
        <w:t>器官系统异质性研究</w:t>
      </w:r>
    </w:p>
    <w:p w14:paraId="216782B4">
      <w:pPr>
        <w:jc w:val="center"/>
      </w:pPr>
      <w:r>
        <w:rPr>
          <w:b w:val="0"/>
          <w:i/>
          <w:sz w:val="20"/>
        </w:rPr>
        <w:t>内部研究报告 —— SOFA轨迹预测项目</w:t>
      </w:r>
    </w:p>
    <w:p w14:paraId="0472F52E">
      <w:r>
        <w:rPr>
          <w:b w:val="0"/>
          <w:i w:val="0"/>
          <w:sz w:val="17"/>
        </w:rPr>
        <w:t>配套文档：modeling/sofa_forecasting.ipynb（2026-09-17执行，以下所有数字均与其完全一致）；SOFA_forecast_project_plan.docx（完整决策记录 D1-D24）；SOFA_forecasting_TRIPOD_AI_checklist.docx（27项报告规范合规表）；SOFA_forecasting_team_briefing.docx（通俗语言版本）；SOFA_modelling_approaches.docx（本方案确定前考虑过的三种候选方案）。代码：github.com/398-21/healthcare-ai-assin。</w:t>
      </w:r>
    </w:p>
    <w:p w14:paraId="3AD988B1">
      <w:pPr>
        <w:pStyle w:val="2"/>
      </w:pPr>
      <w:r>
        <w:t>摘要</w:t>
      </w:r>
    </w:p>
    <w:p w14:paraId="6D80EB9F">
      <w:r>
        <w:rPr>
          <w:b/>
          <w:i w:val="0"/>
        </w:rPr>
        <w:t>背景。</w:t>
      </w:r>
    </w:p>
    <w:p w14:paraId="5500834D">
      <w:r>
        <w:rPr>
          <w:b w:val="0"/>
          <w:i w:val="0"/>
        </w:rPr>
        <w:t>序贯器官衰竭评估（SOFA）评分通常每24小时回顾性计算一次。临床医生在两次评估之间没有任何算法化的前瞻性估计，无法得知患者器官功能障碍负担的走向。PhysioNet/Computing in Cardiology（CinC）2012挑战赛数据集为12,000例成年ICU住院患者提供了密集、不规则采样的生命体征与实验室检测数据，但明显缺失任何用药数据——因此心血管子评分（通常由血管加压药/正性肌力药剂量决定）在本数据集中只能被限制在0/1二元上限以内。</w:t>
      </w:r>
    </w:p>
    <w:p w14:paraId="20C2438C">
      <w:r>
        <w:rPr>
          <w:b/>
          <w:i w:val="0"/>
        </w:rPr>
        <w:t>目的。</w:t>
      </w:r>
    </w:p>
    <w:p w14:paraId="44EC643C">
      <w:pPr>
        <w:rPr>
          <w:b w:val="0"/>
          <w:i w:val="0"/>
        </w:rPr>
      </w:pPr>
      <w:r>
        <w:rPr>
          <w:b w:val="0"/>
          <w:i w:val="0"/>
        </w:rPr>
        <w:t>检验短时程机器学习预测患者滚动SOFA评分，是否能在朴素持续性基线（“假设无变化”）之上提供额外的预测信息——这是本报告的核心问题——以及这种增益在六个组成器官轴上是否均匀分布，还是集中于特定轴。次要问题是：同样的信息能否有效区分具有临床意义的病情恶化（SOFA上升≥2分），以及增加的模型复杂度（非线性与序数形式相对于纯线性基线）是否真正物有所值。</w:t>
      </w:r>
    </w:p>
    <w:p w14:paraId="48777202">
      <w:pPr>
        <w:rPr>
          <w:b w:val="0"/>
          <w:i w:val="0"/>
        </w:rPr>
      </w:pPr>
    </w:p>
    <w:p w14:paraId="68E0419A">
      <w:pPr>
        <w:rPr>
          <w:b w:val="0"/>
          <w:i w:val="0"/>
        </w:rPr>
      </w:pPr>
    </w:p>
    <w:p w14:paraId="771A1712">
      <w:r>
        <w:rPr>
          <w:b/>
          <w:i w:val="0"/>
        </w:rPr>
        <w:t>方法。</w:t>
      </w:r>
    </w:p>
    <w:p w14:paraId="3CA14C83">
      <w:r>
        <w:rPr>
          <w:b w:val="0"/>
          <w:i w:val="0"/>
        </w:rPr>
        <w:t>使用12,000例ICU住院病例（PhysioNet/CinC 2012挑战赛，Set A）构建了48,000个（病例×决策时间点）预测样本，决策时间 T ∈ {24, 30, 36, 42} 小时，特征（407列）均只使用T时刻之前可获得的扩展窗口数据。在统一协议下比较了五个模型族——均使用外部验证集选择的小型固定超参数网格——病例级、分层的70/15/15训练/验证/测试划分：序数累积二分类分解（Frank &amp; Hall, 2001）、Ridge/逻辑回归线性基线、HistGradientBoosting（主力模型族）、CatBoost 与 LightGBM。回归任务以持续性基线（“假设无变化”）为基准，分类任务以基于患病率的无技能参考（Saito &amp; Rehmsmeier, 2015）为基准，全程报告1000次自助法（bootstrap）95%置信区间。</w:t>
      </w:r>
    </w:p>
    <w:p w14:paraId="4495CBC0">
      <w:r>
        <w:rPr>
          <w:b/>
          <w:i w:val="0"/>
        </w:rPr>
        <w:t>结果。</w:t>
      </w:r>
    </w:p>
    <w:p w14:paraId="12354376">
      <w:r>
        <w:rPr>
          <w:b w:val="0"/>
          <w:i w:val="0"/>
        </w:rPr>
        <w:t>五个模型族中有四个——序数分解、HistGradientBoosting、CatBoost 和 LightGBM——在全部四个预测时间点、验证集与测试集上均优于持续性基线的总SOFA MAE；线性基线则未能做到，在四个时间点中的三个上输给持续性基线。序数分解在测试集的每个时间点上总SOFA MAE均最低（0.54-0.63，而持续性基线为0.59-0.96）。这一改善并非在各器官系统间均匀分布：四个时间点平均而言，每个训练模型族在呼吸、凝血、肝脏、心血管和肾脏轴上的平均MAE均劣于持续性基线，总评分的增益几乎全部来自神经系统轴，在该轴上每个非线性模型族均明显优于持续性基线。恶化分类器（不含序数模型族，因其没有对应分类器变体）在测试集上取得 AUROC 0.78-0.84（无技能基准0.50）与 AUPRC 0.18-0.31（无技能基准即患病率，0.04-0.05），但校准欠佳：最高风险十分位的平均预测概率（0.70）大幅高估了其实际观察到的事件发生率（0.22）。</w:t>
      </w:r>
    </w:p>
    <w:p w14:paraId="6E981F01">
      <w:r>
        <w:rPr>
          <w:b/>
          <w:i w:val="0"/>
        </w:rPr>
        <w:t>结论。</w:t>
      </w:r>
    </w:p>
    <w:p w14:paraId="61DE7FC4">
      <w:r>
        <w:rPr>
          <w:b w:val="0"/>
          <w:i w:val="0"/>
        </w:rPr>
        <w:t>仅凭常规可获得的生理与实验室测量数据及其衍生特征，无需任何用药数据，即可实现短时程滚动SOFA评分预测，并明显优于“无变化”的朴素假设——但增益集中于神经系统轴，而非在各器官系统间均匀分布，心血管轴则因该数据集缺失血管加压药数据而存在根本性限制。在所测试的各种建模形式中，序数分解在每个时间点上总SOFA MAE均最低，即便在一项受控消融实验（第3.7节）排除了“这仅仅反映预测绝对值而非增量值”的可能性之后依然如此——这是分解方法本身的真实效应，而非目标形式选择所致的假象。</w:t>
      </w:r>
    </w:p>
    <w:p w14:paraId="56447961">
      <w:r>
        <w:br w:type="page"/>
      </w:r>
    </w:p>
    <w:p w14:paraId="3FE90D7A">
      <w:pPr>
        <w:pStyle w:val="2"/>
      </w:pPr>
      <w:r>
        <w:t>1. 引言</w:t>
      </w:r>
    </w:p>
    <w:p w14:paraId="5EFFF522">
      <w:pPr>
        <w:pStyle w:val="3"/>
      </w:pPr>
      <w:r>
        <w:t>1.1 临床背景与研究动机</w:t>
      </w:r>
    </w:p>
    <w:p w14:paraId="7A07BF5D">
      <w:r>
        <w:rPr>
          <w:b w:val="0"/>
          <w:i w:val="0"/>
        </w:rPr>
        <w:t>SOFA评分（Vincent 等，1996）量化六个器官系统——呼吸、凝血、肝脏、心血管、神经系统与肾脏——的功能障碍程度，每项评分0-4分，是追踪ICU住院期间疾病严重程度与器官衰竭情况的标准工具。在常规实践与研究中，该评分通常每24小时依据该窗口内最差数值回顾性计算一次。这种回顾性、每日一次的评估节奏留下了一个空白：两次评估之间，临床医生并无基于模型的估计来判断患者器官功能障碍负担的走向。一个短时程预测——“基于目前观察到的一切信息，该患者的SOFA评分在未来几小时内可能达到什么水平”——原则上可以将回顾性的严重程度评分转化为早期预警信号，且无需在常规已收集数据之外增加任何新的测量。</w:t>
      </w:r>
    </w:p>
    <w:p w14:paraId="24CC7D49">
      <w:pPr>
        <w:pStyle w:val="3"/>
      </w:pPr>
      <w:r>
        <w:t>1.2 数据集及其固有的结构性限制</w:t>
      </w:r>
    </w:p>
    <w:p w14:paraId="2AF1A183">
      <w:r>
        <w:rPr>
          <w:b w:val="0"/>
          <w:i w:val="0"/>
        </w:rPr>
        <w:t>本项目使用 PhysioNet/Computing in Cardiology 2012 挑战赛数据集（Silva 等，2012）Set A：12,000例已去标识化、住院时长至少48小时的成年ICU病例，生命体征与实验室检测数据的采集时间不规则，且没有入院日历日期</w:t>
      </w:r>
      <w:bookmarkStart w:id="0" w:name="_GoBack"/>
      <w:bookmarkEnd w:id="0"/>
      <w:r>
        <w:rPr>
          <w:b w:val="0"/>
          <w:i w:val="0"/>
        </w:rPr>
        <w:t>，更重要的是——完全没有任何用药数据。SOFA心血管子评分通常主要由血管加压药/正性肌力药的种类与剂量决定；由于缺失该数据，本项目中可从该数据集计算出的心血管子评分在全项目范围内被限制为二元的0或1（在 SOFA_modelling_approaches.docx 中另有量化说明）。这被视为数据本身的一种结构性属性，在此明确声明，而非需要绕过的错误——本项目不使用任何代理指标或插补方法去人为制造这一数据本身无法真正支撑的心血管评分。</w:t>
      </w:r>
    </w:p>
    <w:p w14:paraId="16B04D58">
      <w:pPr>
        <w:pStyle w:val="3"/>
      </w:pPr>
      <w:r>
        <w:t>1.3 核心问题与研究假设</w:t>
      </w:r>
    </w:p>
    <w:p w14:paraId="38AE44C4">
      <w:r>
        <w:rPr>
          <w:b w:val="0"/>
          <w:i w:val="0"/>
        </w:rPr>
        <w:t>本报告所围绕的核心问题：短时程机器学习预测滚动SOFA评分，是否能在简单持续性假设之上提供额外的预测信息？如果能，这种增益是否在六个器官轴上均匀分布，还是集中于特定轴？本研究被定位为一项增量价值与归因研究：其贡献并非提出新的模型架构，而是量化在该问题中，超越显而易见基线的预测价值存在于何处、又不存在于何处。四个子假设将这一问题具体化，每一个都将在第3.8节的结果中给出明确的“成立/不成立”结论：</w:t>
      </w:r>
    </w:p>
    <w:p w14:paraId="18F7EFAA">
      <w:pPr>
        <w:pStyle w:val="29"/>
      </w:pPr>
      <w:r>
        <w:t>H1 —— 机器学习能在持续性假设之上为总SOFA评分提供额外的预测信息，预测提前量为六小时，覆盖四个决策时间点（T = 24、30、36、42小时），且仅使用每个决策时刻之前严格可得的数据。</w:t>
      </w:r>
    </w:p>
    <w:p w14:paraId="7AFC698B">
      <w:pPr>
        <w:pStyle w:val="29"/>
      </w:pPr>
      <w:r>
        <w:t>H2 —— 这种增益在六个器官轴之间是异质分布的，而非均匀分布。之所以在统一协议下比较五个模型族，正是为了同时检验这一点与H3，而非孤立地宣布某个“获胜”模型。</w:t>
      </w:r>
    </w:p>
    <w:p w14:paraId="209B7251">
      <w:pPr>
        <w:pStyle w:val="29"/>
      </w:pPr>
      <w:r>
        <w:t>H3 —— 超越纯线性基线的模型形式能提供增量预测价值，且该价值的大小取决于目标量的表示方式（相对于当前评分的增量值，还是直接预测绝对序数评分），而不仅仅取决于基础学习器的非线性程度或复杂度。</w:t>
      </w:r>
    </w:p>
    <w:p w14:paraId="60280700">
      <w:pPr>
        <w:pStyle w:val="29"/>
      </w:pPr>
      <w:r>
        <w:t>H4 —— 同样的预测信息能有效区分次要的、具有临床意义的病情恶化结局（24小时内SOFA上升≥2分），从而将评分预测任务与二元风险分类任务连接起来，并针对该结局较低的患病率（约4%）给出诚实的无技能参考基准进行评估。</w:t>
      </w:r>
    </w:p>
    <w:p w14:paraId="384F8289">
      <w:r>
        <w:rPr>
          <w:b w:val="0"/>
          <w:i w:val="0"/>
        </w:rPr>
        <w:t>报告遵循 TRIPOD+AI 预测模型研究报告规范（Collins 等，2024）的结构与严谨性要求，完整内容见配套的合规检查表文档——在此说明该规范体现的是本工作在报告层面的严谨性，本身并不构成一项科学贡献。</w:t>
      </w:r>
    </w:p>
    <w:p w14:paraId="7151FD21">
      <w:r>
        <w:br w:type="page"/>
      </w:r>
    </w:p>
    <w:p w14:paraId="476B25AA">
      <w:pPr>
        <w:pStyle w:val="2"/>
      </w:pPr>
      <w:r>
        <w:t>2. 方法</w:t>
      </w:r>
    </w:p>
    <w:p w14:paraId="0B8FB847">
      <w:pPr>
        <w:pStyle w:val="3"/>
      </w:pPr>
      <w:r>
        <w:t>2.1 数据来源与研究对象</w:t>
      </w:r>
    </w:p>
    <w:p w14:paraId="1C2E6549">
      <w:r>
        <w:rPr>
          <w:b w:val="0"/>
          <w:i w:val="0"/>
        </w:rPr>
        <w:t>PhysioNet/CinC 2012挑战赛，Set A：12,000例成年ICU住院病例，公开可获取且已去标识化。本项目不使用任何其他数据来源。数据集自身的纳入规则（ICU住院时长≥48小时）是唯一的入组标准；全部12,000条记录均被使用，未做进一步排除。队列特征见表1。</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60BE73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3FAD670">
            <w:pPr>
              <w:spacing w:after="0" w:line="240" w:lineRule="auto"/>
            </w:pPr>
            <w:r>
              <w:rPr>
                <w:b/>
              </w:rPr>
              <w:t>特征</w:t>
            </w:r>
          </w:p>
        </w:tc>
        <w:tc>
          <w:tcPr>
            <w:tcW w:w="4320" w:type="dxa"/>
          </w:tcPr>
          <w:p w14:paraId="23E40E3D">
            <w:pPr>
              <w:spacing w:after="0" w:line="240" w:lineRule="auto"/>
            </w:pPr>
            <w:r>
              <w:rPr>
                <w:b/>
              </w:rPr>
              <w:t>数值</w:t>
            </w:r>
          </w:p>
        </w:tc>
      </w:tr>
      <w:tr w14:paraId="087095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B4791CD">
            <w:pPr>
              <w:spacing w:after="0" w:line="240" w:lineRule="auto"/>
            </w:pPr>
            <w:r>
              <w:t>N（例数）</w:t>
            </w:r>
          </w:p>
        </w:tc>
        <w:tc>
          <w:tcPr>
            <w:tcW w:w="4320" w:type="dxa"/>
          </w:tcPr>
          <w:p w14:paraId="5A3FC9BD">
            <w:pPr>
              <w:spacing w:after="0" w:line="240" w:lineRule="auto"/>
            </w:pPr>
            <w:r>
              <w:t>12,000 例</w:t>
            </w:r>
          </w:p>
        </w:tc>
      </w:tr>
      <w:tr w14:paraId="09F8E2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21AFC8A">
            <w:pPr>
              <w:spacing w:after="0" w:line="240" w:lineRule="auto"/>
            </w:pPr>
            <w:r>
              <w:t>年龄</w:t>
            </w:r>
          </w:p>
        </w:tc>
        <w:tc>
          <w:tcPr>
            <w:tcW w:w="4320" w:type="dxa"/>
          </w:tcPr>
          <w:p w14:paraId="34AE3D20">
            <w:pPr>
              <w:spacing w:after="0" w:line="240" w:lineRule="auto"/>
            </w:pPr>
            <w:r>
              <w:t>中位数 67（四分位间距 53-78）</w:t>
            </w:r>
          </w:p>
        </w:tc>
      </w:tr>
      <w:tr w14:paraId="72A298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63ADC32">
            <w:pPr>
              <w:spacing w:after="0" w:line="240" w:lineRule="auto"/>
            </w:pPr>
            <w:r>
              <w:t>性别</w:t>
            </w:r>
          </w:p>
        </w:tc>
        <w:tc>
          <w:tcPr>
            <w:tcW w:w="4320" w:type="dxa"/>
          </w:tcPr>
          <w:p w14:paraId="7E529BDC">
            <w:pPr>
              <w:spacing w:after="0" w:line="240" w:lineRule="auto"/>
            </w:pPr>
            <w:r>
              <w:t>男性 56.1%，女性 43.8%</w:t>
            </w:r>
          </w:p>
        </w:tc>
      </w:tr>
      <w:tr w14:paraId="23522A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5EB95BB">
            <w:pPr>
              <w:spacing w:after="0" w:line="240" w:lineRule="auto"/>
            </w:pPr>
            <w:r>
              <w:t>ICU类型</w:t>
            </w:r>
          </w:p>
        </w:tc>
        <w:tc>
          <w:tcPr>
            <w:tcW w:w="4320" w:type="dxa"/>
          </w:tcPr>
          <w:p w14:paraId="686893C8">
            <w:pPr>
              <w:spacing w:after="0" w:line="240" w:lineRule="auto"/>
            </w:pPr>
            <w:r>
              <w:t>冠心病监护室 1,769（14.7%）/ 心脏外科恢复室 2,530（21.1%）/ 内科 4,293（35.8%）/ 外科 3,408（28.4%）</w:t>
            </w:r>
          </w:p>
        </w:tc>
      </w:tr>
      <w:tr w14:paraId="74CD09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1FE4F7E">
            <w:pPr>
              <w:spacing w:after="0" w:line="240" w:lineRule="auto"/>
            </w:pPr>
            <w:r>
              <w:t>住院时长</w:t>
            </w:r>
          </w:p>
        </w:tc>
        <w:tc>
          <w:tcPr>
            <w:tcW w:w="4320" w:type="dxa"/>
          </w:tcPr>
          <w:p w14:paraId="64085918">
            <w:pPr>
              <w:spacing w:after="0" w:line="240" w:lineRule="auto"/>
            </w:pPr>
            <w:r>
              <w:t>末次观测中位数 47.5 小时（最小值0，第5百分位46.3，最大值48.0）；171 条记录在42小时前结束，83 条在36小时前结束</w:t>
            </w:r>
          </w:p>
        </w:tc>
      </w:tr>
    </w:tbl>
    <w:p w14:paraId="4C84B174">
      <w:r>
        <w:rPr>
          <w:b w:val="0"/>
          <w:i/>
          <w:sz w:val="18"/>
        </w:rPr>
        <w:t>表1. 全数据集队列特征（N = 12,000）。</w:t>
      </w:r>
    </w:p>
    <w:p w14:paraId="52A30E02">
      <w:pPr>
        <w:pStyle w:val="3"/>
      </w:pPr>
      <w:r>
        <w:t>2.2 结局定义</w:t>
      </w:r>
    </w:p>
    <w:p w14:paraId="4FF17177">
      <w:r>
        <w:rPr>
          <w:b w:val="0"/>
          <w:i w:val="0"/>
        </w:rPr>
        <w:t>对每个决策时间点 T，结局变量为总SOFA评分及各器官子评分，取自滚动24小时窗口[T−18, T+6)——即T时刻之后六小时的评分。次要二元结局 deteriorate_24h 在该评分相较 SOFA_now（最近一个完整24小时窗口 [T−24, T) 的评分）上升≥2分时取值为1。两个结局均由固定的、受版本控制的规则引擎算法化计算得出，精确复现本项目自身的SOFA计算审计结果——绝不取自数据集自带的 outcomes.csv（其中包含本项目特征集无法获取的信息，即血管加压药剂量），outcomes.csv 仅在评估阶段作为外部参照使用，绝不作为训练信号。</w:t>
      </w:r>
    </w:p>
    <w:p w14:paraId="386ACA36">
      <w:pPr>
        <w:pStyle w:val="3"/>
      </w:pPr>
      <w:r>
        <w:t>2.3 预测变量</w:t>
      </w:r>
    </w:p>
    <w:p w14:paraId="408DA72F">
      <w:r>
        <w:rPr>
          <w:b w:val="0"/>
          <w:i w:val="0"/>
        </w:rPr>
        <w:t>所有预测变量均严格来自 T 时刻之前的测量数据（扩展窗口：越晚的决策时间点可见的数据越多）。特征集（407列）包括：36项随时间变化的生命体征与实验室指标的逐变量汇总统计量（末值/首值/最小值/最大值/均值/标准差/计数/距末次测量小时数/覆盖小时数/12小时斜率，共360列）；工程化的血流动力学/神经/肾脏/呼吸信号（14列）；基于本项目自身数据在 [0,24) 小时与 [T−24,T) 小时窗口内计算的基于规则的SOFA子评分（28列）；以及入院描述性变量（5列）。除完全排除outcomes.csv 外，不做任何预测变量的预先筛选。</w:t>
      </w:r>
    </w:p>
    <w:p w14:paraId="4784D8E4">
      <w:pPr>
        <w:pStyle w:val="3"/>
      </w:pPr>
      <w:r>
        <w:t>2.4 六轴分解建模</w:t>
      </w:r>
    </w:p>
    <w:p w14:paraId="6F3551E3">
      <w:r>
        <w:rPr>
          <w:b w:val="0"/>
          <w:i w:val="0"/>
        </w:rPr>
        <w:t>本项目没有用单一模型直接预测总SOFA评分，而是对六个器官轴分别建模，再将六个预测值相加。相较于单一整体评分模型，选择这种方式基于三点理由：（一）可以分别报告与解读各轴误差，而非将其隐藏在一个不透明的总数之中——这一点在本研究中被证明极为重要（第4.4节）；（二）可将心血管轴的结构性限制（第1.2节）精确隔离在六个子模型中的一个之内，而不会污染一个综合估计值；（三）每个轴专属模型只需从与该器官系统相关的测量数据中学习。</w:t>
      </w:r>
    </w:p>
    <w:p w14:paraId="55A80A0F">
      <w:pPr>
        <w:pStyle w:val="3"/>
      </w:pPr>
      <w:r>
        <w:t>2.5 缺失数据处理</w:t>
      </w:r>
    </w:p>
    <w:p w14:paraId="24264360">
      <w:r>
        <w:rPr>
          <w:b w:val="0"/>
          <w:i w:val="0"/>
        </w:rPr>
        <w:t>两种独立的缺失机制被有意区别对待。预测变量缺失（输入窗口内某项生命体征或检验从未被测量）保留为缺失值，交由基于树的模型族的原生缺失值处理机制（HistGradientBoosting、CatBoost、LightGBM 均在树分裂过程中原生路由缺失值，而非插补）；线性模型族则需要中位数插补加标准化，因为Ridge/逻辑回归本身没有原生的缺失值处理能力。结局缺失（某轴目标窗口内完全没有测量值）会被排除在该轴所有模型族的训练与评估行之外——绝不做零值填补——因此不会让任何模型学到“未测量”等同于“评分为0”。宽松的零值填补惯例仅用于单独报告的总SOFA聚合数值，与本项目原始SOFA计算方法保持一致，并在事后被同等地应用于每个模型族的预测结果以及持续性基线（第2.9节），以保证比较的公平性。</w:t>
      </w:r>
    </w:p>
    <w:p w14:paraId="612824E1">
      <w:pPr>
        <w:pStyle w:val="3"/>
      </w:pPr>
      <w:r>
        <w:t>2.6 数据集划分</w:t>
      </w:r>
    </w:p>
    <w:p w14:paraId="103C5592">
      <w:r>
        <w:rPr>
          <w:b w:val="0"/>
          <w:i w:val="0"/>
        </w:rPr>
        <w:t>数据划分以病例为单位（同一病例的四个时间点行绝不会跨越划分边界），按SOFA严重程度粗分层与院内死亡交叉分层，70/15/15 训练/验证/测试划分，随机种子42，划分后冻结。表2确认该划分在严重程度、死亡率、缺失情况与ICU类型构成方面均达到了良好的一致性。</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80"/>
        <w:gridCol w:w="1080"/>
        <w:gridCol w:w="1080"/>
        <w:gridCol w:w="1080"/>
        <w:gridCol w:w="1110"/>
        <w:gridCol w:w="1080"/>
        <w:gridCol w:w="1080"/>
        <w:gridCol w:w="1080"/>
      </w:tblGrid>
      <w:tr w14:paraId="05EC85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16BCCDB9">
            <w:pPr>
              <w:spacing w:after="0" w:line="240" w:lineRule="auto"/>
            </w:pPr>
            <w:r>
              <w:rPr>
                <w:b/>
              </w:rPr>
              <w:t>划分</w:t>
            </w:r>
          </w:p>
        </w:tc>
        <w:tc>
          <w:tcPr>
            <w:tcW w:w="1080" w:type="dxa"/>
          </w:tcPr>
          <w:p w14:paraId="4BC4BF82">
            <w:pPr>
              <w:spacing w:after="0" w:line="240" w:lineRule="auto"/>
            </w:pPr>
            <w:r>
              <w:rPr>
                <w:b/>
              </w:rPr>
              <w:t>N（病例数）</w:t>
            </w:r>
          </w:p>
        </w:tc>
        <w:tc>
          <w:tcPr>
            <w:tcW w:w="1080" w:type="dxa"/>
          </w:tcPr>
          <w:p w14:paraId="2748EC6F">
            <w:pPr>
              <w:spacing w:after="0" w:line="240" w:lineRule="auto"/>
            </w:pPr>
            <w:r>
              <w:rPr>
                <w:b/>
              </w:rPr>
              <w:t>占比%</w:t>
            </w:r>
          </w:p>
        </w:tc>
        <w:tc>
          <w:tcPr>
            <w:tcW w:w="1080" w:type="dxa"/>
          </w:tcPr>
          <w:p w14:paraId="6C1EB785">
            <w:pPr>
              <w:spacing w:after="0" w:line="240" w:lineRule="auto"/>
            </w:pPr>
            <w:r>
              <w:rPr>
                <w:b/>
              </w:rPr>
              <w:t>平均SOFA</w:t>
            </w:r>
          </w:p>
        </w:tc>
        <w:tc>
          <w:tcPr>
            <w:tcW w:w="1080" w:type="dxa"/>
          </w:tcPr>
          <w:p w14:paraId="22E6DEAB">
            <w:pPr>
              <w:spacing w:after="0" w:line="240" w:lineRule="auto"/>
            </w:pPr>
            <w:r>
              <w:rPr>
                <w:b/>
              </w:rPr>
              <w:t>SOFA P25/P75</w:t>
            </w:r>
          </w:p>
        </w:tc>
        <w:tc>
          <w:tcPr>
            <w:tcW w:w="1080" w:type="dxa"/>
          </w:tcPr>
          <w:p w14:paraId="00E6DCED">
            <w:pPr>
              <w:spacing w:after="0" w:line="240" w:lineRule="auto"/>
            </w:pPr>
            <w:r>
              <w:rPr>
                <w:b/>
              </w:rPr>
              <w:t>死亡率</w:t>
            </w:r>
          </w:p>
        </w:tc>
        <w:tc>
          <w:tcPr>
            <w:tcW w:w="1080" w:type="dxa"/>
          </w:tcPr>
          <w:p w14:paraId="6A05AC3E">
            <w:pPr>
              <w:spacing w:after="0" w:line="240" w:lineRule="auto"/>
            </w:pPr>
            <w:r>
              <w:rPr>
                <w:b/>
              </w:rPr>
              <w:t>SOFA不可评分</w:t>
            </w:r>
          </w:p>
        </w:tc>
        <w:tc>
          <w:tcPr>
            <w:tcW w:w="1080" w:type="dxa"/>
          </w:tcPr>
          <w:p w14:paraId="597C61D9">
            <w:pPr>
              <w:spacing w:after="0" w:line="240" w:lineRule="auto"/>
            </w:pPr>
            <w:r>
              <w:rPr>
                <w:b/>
              </w:rPr>
              <w:t>ICU 1/2/3/4（%）</w:t>
            </w:r>
          </w:p>
        </w:tc>
      </w:tr>
      <w:tr w14:paraId="249F4C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376E8C5A">
            <w:pPr>
              <w:spacing w:after="0" w:line="240" w:lineRule="auto"/>
            </w:pPr>
            <w:r>
              <w:t>训练集</w:t>
            </w:r>
          </w:p>
        </w:tc>
        <w:tc>
          <w:tcPr>
            <w:tcW w:w="1080" w:type="dxa"/>
          </w:tcPr>
          <w:p w14:paraId="00DB2FFE">
            <w:pPr>
              <w:spacing w:after="0" w:line="240" w:lineRule="auto"/>
            </w:pPr>
            <w:r>
              <w:t>8,400</w:t>
            </w:r>
          </w:p>
        </w:tc>
        <w:tc>
          <w:tcPr>
            <w:tcW w:w="1080" w:type="dxa"/>
          </w:tcPr>
          <w:p w14:paraId="27615EAA">
            <w:pPr>
              <w:spacing w:after="0" w:line="240" w:lineRule="auto"/>
            </w:pPr>
            <w:r>
              <w:t>70.0</w:t>
            </w:r>
          </w:p>
        </w:tc>
        <w:tc>
          <w:tcPr>
            <w:tcW w:w="1080" w:type="dxa"/>
          </w:tcPr>
          <w:p w14:paraId="75DBACBB">
            <w:pPr>
              <w:spacing w:after="0" w:line="240" w:lineRule="auto"/>
            </w:pPr>
            <w:r>
              <w:t>6.66</w:t>
            </w:r>
          </w:p>
        </w:tc>
        <w:tc>
          <w:tcPr>
            <w:tcW w:w="1080" w:type="dxa"/>
          </w:tcPr>
          <w:p w14:paraId="3DF46D94">
            <w:pPr>
              <w:spacing w:after="0" w:line="240" w:lineRule="auto"/>
            </w:pPr>
            <w:r>
              <w:t>3.0 / 9.0</w:t>
            </w:r>
          </w:p>
        </w:tc>
        <w:tc>
          <w:tcPr>
            <w:tcW w:w="1080" w:type="dxa"/>
          </w:tcPr>
          <w:p w14:paraId="16131AB4">
            <w:pPr>
              <w:spacing w:after="0" w:line="240" w:lineRule="auto"/>
            </w:pPr>
            <w:r>
              <w:t>0.142</w:t>
            </w:r>
          </w:p>
        </w:tc>
        <w:tc>
          <w:tcPr>
            <w:tcW w:w="1080" w:type="dxa"/>
          </w:tcPr>
          <w:p w14:paraId="05586992">
            <w:pPr>
              <w:spacing w:after="0" w:line="240" w:lineRule="auto"/>
            </w:pPr>
            <w:r>
              <w:t>282</w:t>
            </w:r>
          </w:p>
        </w:tc>
        <w:tc>
          <w:tcPr>
            <w:tcW w:w="1080" w:type="dxa"/>
          </w:tcPr>
          <w:p w14:paraId="27483780">
            <w:pPr>
              <w:spacing w:after="0" w:line="240" w:lineRule="auto"/>
            </w:pPr>
            <w:r>
              <w:t>14.6 / 21.1 / 35.8 / 28.5</w:t>
            </w:r>
          </w:p>
        </w:tc>
      </w:tr>
      <w:tr w14:paraId="19FF6C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2168EBB1">
            <w:pPr>
              <w:spacing w:after="0" w:line="240" w:lineRule="auto"/>
            </w:pPr>
            <w:r>
              <w:t>验证集</w:t>
            </w:r>
          </w:p>
        </w:tc>
        <w:tc>
          <w:tcPr>
            <w:tcW w:w="1080" w:type="dxa"/>
          </w:tcPr>
          <w:p w14:paraId="0F2E4FDE">
            <w:pPr>
              <w:spacing w:after="0" w:line="240" w:lineRule="auto"/>
            </w:pPr>
            <w:r>
              <w:t>1,800</w:t>
            </w:r>
          </w:p>
        </w:tc>
        <w:tc>
          <w:tcPr>
            <w:tcW w:w="1080" w:type="dxa"/>
          </w:tcPr>
          <w:p w14:paraId="5110BCBB">
            <w:pPr>
              <w:spacing w:after="0" w:line="240" w:lineRule="auto"/>
            </w:pPr>
            <w:r>
              <w:t>15.0</w:t>
            </w:r>
          </w:p>
        </w:tc>
        <w:tc>
          <w:tcPr>
            <w:tcW w:w="1080" w:type="dxa"/>
          </w:tcPr>
          <w:p w14:paraId="16236072">
            <w:pPr>
              <w:spacing w:after="0" w:line="240" w:lineRule="auto"/>
            </w:pPr>
            <w:r>
              <w:t>6.66</w:t>
            </w:r>
          </w:p>
        </w:tc>
        <w:tc>
          <w:tcPr>
            <w:tcW w:w="1080" w:type="dxa"/>
          </w:tcPr>
          <w:p w14:paraId="665D2CB3">
            <w:pPr>
              <w:spacing w:after="0" w:line="240" w:lineRule="auto"/>
            </w:pPr>
            <w:r>
              <w:t>3.0 / 9.0</w:t>
            </w:r>
          </w:p>
        </w:tc>
        <w:tc>
          <w:tcPr>
            <w:tcW w:w="1080" w:type="dxa"/>
          </w:tcPr>
          <w:p w14:paraId="5A14484A">
            <w:pPr>
              <w:spacing w:after="0" w:line="240" w:lineRule="auto"/>
            </w:pPr>
            <w:r>
              <w:t>0.143</w:t>
            </w:r>
          </w:p>
        </w:tc>
        <w:tc>
          <w:tcPr>
            <w:tcW w:w="1080" w:type="dxa"/>
          </w:tcPr>
          <w:p w14:paraId="261808D8">
            <w:pPr>
              <w:spacing w:after="0" w:line="240" w:lineRule="auto"/>
            </w:pPr>
            <w:r>
              <w:t>61</w:t>
            </w:r>
          </w:p>
        </w:tc>
        <w:tc>
          <w:tcPr>
            <w:tcW w:w="1080" w:type="dxa"/>
          </w:tcPr>
          <w:p w14:paraId="0F15EA01">
            <w:pPr>
              <w:spacing w:after="0" w:line="240" w:lineRule="auto"/>
            </w:pPr>
            <w:r>
              <w:t>15.5 / 21.0 / 35.3 / 28.2</w:t>
            </w:r>
          </w:p>
        </w:tc>
      </w:tr>
      <w:tr w14:paraId="771C24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2E77DC13">
            <w:pPr>
              <w:spacing w:after="0" w:line="240" w:lineRule="auto"/>
            </w:pPr>
            <w:r>
              <w:t>测试集</w:t>
            </w:r>
          </w:p>
        </w:tc>
        <w:tc>
          <w:tcPr>
            <w:tcW w:w="1080" w:type="dxa"/>
          </w:tcPr>
          <w:p w14:paraId="16A07064">
            <w:pPr>
              <w:spacing w:after="0" w:line="240" w:lineRule="auto"/>
            </w:pPr>
            <w:r>
              <w:t>1,800</w:t>
            </w:r>
          </w:p>
        </w:tc>
        <w:tc>
          <w:tcPr>
            <w:tcW w:w="1080" w:type="dxa"/>
          </w:tcPr>
          <w:p w14:paraId="264A433B">
            <w:pPr>
              <w:spacing w:after="0" w:line="240" w:lineRule="auto"/>
            </w:pPr>
            <w:r>
              <w:t>15.0</w:t>
            </w:r>
          </w:p>
        </w:tc>
        <w:tc>
          <w:tcPr>
            <w:tcW w:w="1080" w:type="dxa"/>
          </w:tcPr>
          <w:p w14:paraId="54FE114E">
            <w:pPr>
              <w:spacing w:after="0" w:line="240" w:lineRule="auto"/>
            </w:pPr>
            <w:r>
              <w:t>6.67</w:t>
            </w:r>
          </w:p>
        </w:tc>
        <w:tc>
          <w:tcPr>
            <w:tcW w:w="1080" w:type="dxa"/>
          </w:tcPr>
          <w:p w14:paraId="0A659383">
            <w:pPr>
              <w:spacing w:after="0" w:line="240" w:lineRule="auto"/>
            </w:pPr>
            <w:r>
              <w:t>3.0 / 9.0</w:t>
            </w:r>
          </w:p>
        </w:tc>
        <w:tc>
          <w:tcPr>
            <w:tcW w:w="1080" w:type="dxa"/>
          </w:tcPr>
          <w:p w14:paraId="1FC61006">
            <w:pPr>
              <w:spacing w:after="0" w:line="240" w:lineRule="auto"/>
            </w:pPr>
            <w:r>
              <w:t>0.142</w:t>
            </w:r>
          </w:p>
        </w:tc>
        <w:tc>
          <w:tcPr>
            <w:tcW w:w="1080" w:type="dxa"/>
          </w:tcPr>
          <w:p w14:paraId="6334563F">
            <w:pPr>
              <w:spacing w:after="0" w:line="240" w:lineRule="auto"/>
            </w:pPr>
            <w:r>
              <w:t>60</w:t>
            </w:r>
          </w:p>
        </w:tc>
        <w:tc>
          <w:tcPr>
            <w:tcW w:w="1080" w:type="dxa"/>
          </w:tcPr>
          <w:p w14:paraId="327B475B">
            <w:pPr>
              <w:spacing w:after="0" w:line="240" w:lineRule="auto"/>
            </w:pPr>
            <w:r>
              <w:t>14.8 / 21.0 / 36.2 / 28.0</w:t>
            </w:r>
          </w:p>
        </w:tc>
      </w:tr>
    </w:tbl>
    <w:p w14:paraId="6DC88F10">
      <w:r>
        <w:rPr>
          <w:b w:val="0"/>
          <w:i/>
          <w:sz w:val="18"/>
        </w:rPr>
        <w:t>表2. 各划分特征（病例层面，尚未按时间点做任何行排除之前）。</w:t>
      </w:r>
    </w:p>
    <w:p w14:paraId="209AB201">
      <w:pPr>
        <w:pStyle w:val="3"/>
      </w:pPr>
      <w:r>
        <w:t>2.7 模型开发 —— 五个模型族</w:t>
      </w:r>
    </w:p>
    <w:p w14:paraId="4B9BC38F">
      <w:r>
        <w:rPr>
          <w:b w:val="0"/>
          <w:i w:val="0"/>
        </w:rPr>
        <w:t>在统一协议下正面比较了五个模型族，按优先级排列如下：</w:t>
      </w:r>
    </w:p>
    <w:p w14:paraId="2C246EE4">
      <w:pPr>
        <w:pStyle w:val="23"/>
      </w:pPr>
      <w:r>
        <w:t>序数模型（Frank &amp; Hall, 2001）。将每个轴的评分（0-4）视为序数结局，通过累积二分类分解处理：每轴训练四个 HistGradientBoostingClassifier，分别对应阈值 k ∈ {0,1,2,3}，每个预测 P(评分 &gt; k)。绝对评分通过E[评分] = P(&gt;0) + P(&gt;1) + P(&gt;2) + P(&gt;3) 重建，利用有界非负整数变量的尾和恒等式，自动落在[0,4]区间内，无需任何截断步骤。与其余四个模型族不同，该方法直接预测绝对目标评分，而非相对当前评分的增量值。</w:t>
      </w:r>
    </w:p>
    <w:p w14:paraId="455176FF">
      <w:pPr>
        <w:pStyle w:val="23"/>
      </w:pPr>
      <w:r>
        <w:t>线性模型。先做中位数插补加标准化，再用Ridge回归（评分预测）或类别加权逻辑回归（恶化预测），预测相对 SOFA_now 的增量值。加入此模型族专门用于检验非线性模型族增加的复杂度是否真正物有所值。</w:t>
      </w:r>
    </w:p>
    <w:p w14:paraId="43817AB5">
      <w:pPr>
        <w:pStyle w:val="23"/>
      </w:pPr>
      <w:r>
        <w:t>HistGradientBoosting（主力模型族）。六个独立的 HistGradientBoostingRegressor，每轴一个，将全部四个时间点合并训练，决策时间作为普通特征，预测相对 SOFA_now的增量值；另有一个合并训练的 HistGradientBoostingClassifier 用于恶化预测。选为主力模型族的原因是其原生缺失值处理能力，且无需额外依赖库。</w:t>
      </w:r>
    </w:p>
    <w:p w14:paraId="591379DE">
      <w:pPr>
        <w:pStyle w:val="23"/>
      </w:pPr>
      <w:r>
        <w:t>CatBoost。与HistGradientBoosting采用相同的增量目标设计，对ICU类型/性别/决策时间等类别特征具有原生处理能力，并采用有序提升（ordered boosting），旨在降低在样本量较小的轴（如肝脏轴，训练行数最少）上的过拟合风险。</w:t>
      </w:r>
    </w:p>
    <w:p w14:paraId="4EE2EC7D">
      <w:pPr>
        <w:pStyle w:val="23"/>
      </w:pPr>
      <w:r>
        <w:t>LightGBM。同样采用增量目标设计，使用按叶生长（leaf-wise，最优优先）的树生长策略，与 HistGradientBoosting 和 CatBoost 更偏按层生长的策略在结构上存在系统性差异。</w:t>
      </w:r>
    </w:p>
    <w:p w14:paraId="6C1B3095">
      <w:r>
        <w:rPr>
          <w:b w:val="0"/>
          <w:i w:val="0"/>
        </w:rPr>
        <w:t>每个模型族均使用相同的小型固定超参数网格（表3），每个网格点在训练集上拟合，在未触碰过的外部验证集上评分——绝不使用库自带的内部早停机制，因为那会悄悄从训练集中划出验证行。回归器按验证集MAE选择；分类器按验证集AUPRC选择，在该结局约4%患病率的情况下，AUPRC是信息量更大的指标（Saito &amp; Rehmsmeier, 2015）。</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74"/>
        <w:gridCol w:w="2075"/>
        <w:gridCol w:w="2531"/>
        <w:gridCol w:w="1876"/>
      </w:tblGrid>
      <w:tr w14:paraId="0CEE70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7E0A072">
            <w:pPr>
              <w:spacing w:after="0" w:line="240" w:lineRule="auto"/>
            </w:pPr>
            <w:r>
              <w:rPr>
                <w:b/>
              </w:rPr>
              <w:t>模型族</w:t>
            </w:r>
          </w:p>
        </w:tc>
        <w:tc>
          <w:tcPr>
            <w:tcW w:w="2160" w:type="dxa"/>
          </w:tcPr>
          <w:p w14:paraId="012A54E9">
            <w:pPr>
              <w:spacing w:after="0" w:line="240" w:lineRule="auto"/>
            </w:pPr>
            <w:r>
              <w:rPr>
                <w:b/>
              </w:rPr>
              <w:t>变化的超参数</w:t>
            </w:r>
          </w:p>
        </w:tc>
        <w:tc>
          <w:tcPr>
            <w:tcW w:w="2160" w:type="dxa"/>
          </w:tcPr>
          <w:p w14:paraId="36EF5BA1">
            <w:pPr>
              <w:spacing w:after="0" w:line="240" w:lineRule="auto"/>
            </w:pPr>
            <w:r>
              <w:rPr>
                <w:b/>
              </w:rPr>
              <w:t>固定超参数</w:t>
            </w:r>
          </w:p>
        </w:tc>
        <w:tc>
          <w:tcPr>
            <w:tcW w:w="2160" w:type="dxa"/>
          </w:tcPr>
          <w:p w14:paraId="26339132">
            <w:pPr>
              <w:spacing w:after="0" w:line="240" w:lineRule="auto"/>
            </w:pPr>
            <w:r>
              <w:rPr>
                <w:b/>
              </w:rPr>
              <w:t>选择指标</w:t>
            </w:r>
          </w:p>
        </w:tc>
      </w:tr>
      <w:tr w14:paraId="780EAB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2A6BCF8">
            <w:pPr>
              <w:spacing w:after="0" w:line="240" w:lineRule="auto"/>
            </w:pPr>
            <w:r>
              <w:t>序数模型</w:t>
            </w:r>
          </w:p>
        </w:tc>
        <w:tc>
          <w:tcPr>
            <w:tcW w:w="2160" w:type="dxa"/>
          </w:tcPr>
          <w:p w14:paraId="18E75FE0">
            <w:pPr>
              <w:spacing w:after="0" w:line="240" w:lineRule="auto"/>
            </w:pPr>
            <w:r>
              <w:t>learning_rate {0.05, 0.10} × max_leaf_nodes {31, 63}</w:t>
            </w:r>
          </w:p>
        </w:tc>
        <w:tc>
          <w:tcPr>
            <w:tcW w:w="2160" w:type="dxa"/>
          </w:tcPr>
          <w:p w14:paraId="5674113B">
            <w:pPr>
              <w:spacing w:after="0" w:line="240" w:lineRule="auto"/>
            </w:pPr>
            <w:r>
              <w:t>max_iter=300</w:t>
            </w:r>
          </w:p>
        </w:tc>
        <w:tc>
          <w:tcPr>
            <w:tcW w:w="2160" w:type="dxa"/>
          </w:tcPr>
          <w:p w14:paraId="172FCBBD">
            <w:pPr>
              <w:spacing w:after="0" w:line="240" w:lineRule="auto"/>
            </w:pPr>
            <w:r>
              <w:t>验证集 AUROC（按各阈值）</w:t>
            </w:r>
          </w:p>
        </w:tc>
      </w:tr>
      <w:tr w14:paraId="004945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0381F4F">
            <w:pPr>
              <w:spacing w:after="0" w:line="240" w:lineRule="auto"/>
            </w:pPr>
            <w:r>
              <w:t>线性模型（回归器）</w:t>
            </w:r>
          </w:p>
        </w:tc>
        <w:tc>
          <w:tcPr>
            <w:tcW w:w="2160" w:type="dxa"/>
          </w:tcPr>
          <w:p w14:paraId="764EE365">
            <w:pPr>
              <w:spacing w:after="0" w:line="240" w:lineRule="auto"/>
            </w:pPr>
            <w:r>
              <w:t>alpha {0.1, 1.0, 10.0}</w:t>
            </w:r>
          </w:p>
        </w:tc>
        <w:tc>
          <w:tcPr>
            <w:tcW w:w="2160" w:type="dxa"/>
          </w:tcPr>
          <w:p w14:paraId="11772F10">
            <w:pPr>
              <w:spacing w:after="0" w:line="240" w:lineRule="auto"/>
            </w:pPr>
            <w:r>
              <w:t>—</w:t>
            </w:r>
          </w:p>
        </w:tc>
        <w:tc>
          <w:tcPr>
            <w:tcW w:w="2160" w:type="dxa"/>
          </w:tcPr>
          <w:p w14:paraId="3359B32C">
            <w:pPr>
              <w:spacing w:after="0" w:line="240" w:lineRule="auto"/>
            </w:pPr>
            <w:r>
              <w:t>验证集 MAE</w:t>
            </w:r>
          </w:p>
        </w:tc>
      </w:tr>
      <w:tr w14:paraId="22AF9C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D58FBCD">
            <w:pPr>
              <w:spacing w:after="0" w:line="240" w:lineRule="auto"/>
            </w:pPr>
            <w:r>
              <w:t>线性模型（分类器）</w:t>
            </w:r>
          </w:p>
        </w:tc>
        <w:tc>
          <w:tcPr>
            <w:tcW w:w="2160" w:type="dxa"/>
          </w:tcPr>
          <w:p w14:paraId="64513C2C">
            <w:pPr>
              <w:spacing w:after="0" w:line="240" w:lineRule="auto"/>
            </w:pPr>
            <w:r>
              <w:t>C {0.1, 1.0, 10.0}</w:t>
            </w:r>
          </w:p>
        </w:tc>
        <w:tc>
          <w:tcPr>
            <w:tcW w:w="2160" w:type="dxa"/>
          </w:tcPr>
          <w:p w14:paraId="406D2189">
            <w:pPr>
              <w:spacing w:after="0" w:line="240" w:lineRule="auto"/>
            </w:pPr>
            <w:r>
              <w:t>class_weight=balanced</w:t>
            </w:r>
          </w:p>
        </w:tc>
        <w:tc>
          <w:tcPr>
            <w:tcW w:w="2160" w:type="dxa"/>
          </w:tcPr>
          <w:p w14:paraId="2EBB4357">
            <w:pPr>
              <w:spacing w:after="0" w:line="240" w:lineRule="auto"/>
            </w:pPr>
            <w:r>
              <w:t>验证集 AUPRC</w:t>
            </w:r>
          </w:p>
        </w:tc>
      </w:tr>
      <w:tr w14:paraId="46E09D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EFA5864">
            <w:pPr>
              <w:spacing w:after="0" w:line="240" w:lineRule="auto"/>
            </w:pPr>
            <w:r>
              <w:t>HistGradientBoosting</w:t>
            </w:r>
          </w:p>
        </w:tc>
        <w:tc>
          <w:tcPr>
            <w:tcW w:w="2160" w:type="dxa"/>
          </w:tcPr>
          <w:p w14:paraId="680F8BAD">
            <w:pPr>
              <w:spacing w:after="0" w:line="240" w:lineRule="auto"/>
            </w:pPr>
            <w:r>
              <w:t>learning_rate {0.05, 0.10} × max_leaf_nodes {31, 63}</w:t>
            </w:r>
          </w:p>
        </w:tc>
        <w:tc>
          <w:tcPr>
            <w:tcW w:w="2160" w:type="dxa"/>
          </w:tcPr>
          <w:p w14:paraId="16BA23C6">
            <w:pPr>
              <w:spacing w:after="0" w:line="240" w:lineRule="auto"/>
            </w:pPr>
            <w:r>
              <w:t>max_iter=300</w:t>
            </w:r>
          </w:p>
        </w:tc>
        <w:tc>
          <w:tcPr>
            <w:tcW w:w="2160" w:type="dxa"/>
          </w:tcPr>
          <w:p w14:paraId="19827270">
            <w:pPr>
              <w:spacing w:after="0" w:line="240" w:lineRule="auto"/>
            </w:pPr>
            <w:r>
              <w:t>MAE（回归器）/ AUPRC（分类器）</w:t>
            </w:r>
          </w:p>
        </w:tc>
      </w:tr>
      <w:tr w14:paraId="1AE80C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F21839F">
            <w:pPr>
              <w:spacing w:after="0" w:line="240" w:lineRule="auto"/>
            </w:pPr>
            <w:r>
              <w:t>CatBoost</w:t>
            </w:r>
          </w:p>
        </w:tc>
        <w:tc>
          <w:tcPr>
            <w:tcW w:w="2160" w:type="dxa"/>
          </w:tcPr>
          <w:p w14:paraId="648B0EF2">
            <w:pPr>
              <w:spacing w:after="0" w:line="240" w:lineRule="auto"/>
            </w:pPr>
            <w:r>
              <w:t>learning_rate {0.05, 0.10} × depth {4, 6}</w:t>
            </w:r>
          </w:p>
        </w:tc>
        <w:tc>
          <w:tcPr>
            <w:tcW w:w="2160" w:type="dxa"/>
          </w:tcPr>
          <w:p w14:paraId="190C4B07">
            <w:pPr>
              <w:spacing w:after="0" w:line="240" w:lineRule="auto"/>
            </w:pPr>
            <w:r>
              <w:t>iterations=300</w:t>
            </w:r>
          </w:p>
        </w:tc>
        <w:tc>
          <w:tcPr>
            <w:tcW w:w="2160" w:type="dxa"/>
          </w:tcPr>
          <w:p w14:paraId="14A82081">
            <w:pPr>
              <w:spacing w:after="0" w:line="240" w:lineRule="auto"/>
            </w:pPr>
            <w:r>
              <w:t>验证集 MAE</w:t>
            </w:r>
          </w:p>
        </w:tc>
      </w:tr>
      <w:tr w14:paraId="4C935B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A3F57C8">
            <w:pPr>
              <w:spacing w:after="0" w:line="240" w:lineRule="auto"/>
            </w:pPr>
            <w:r>
              <w:t>LightGBM</w:t>
            </w:r>
          </w:p>
        </w:tc>
        <w:tc>
          <w:tcPr>
            <w:tcW w:w="2160" w:type="dxa"/>
          </w:tcPr>
          <w:p w14:paraId="2063ABDA">
            <w:pPr>
              <w:spacing w:after="0" w:line="240" w:lineRule="auto"/>
            </w:pPr>
            <w:r>
              <w:t>learning_rate {0.05, 0.10} × num_leaves {31, 63}</w:t>
            </w:r>
          </w:p>
        </w:tc>
        <w:tc>
          <w:tcPr>
            <w:tcW w:w="2160" w:type="dxa"/>
          </w:tcPr>
          <w:p w14:paraId="31CAB12F">
            <w:pPr>
              <w:spacing w:after="0" w:line="240" w:lineRule="auto"/>
            </w:pPr>
            <w:r>
              <w:t>n_estimators=300</w:t>
            </w:r>
          </w:p>
        </w:tc>
        <w:tc>
          <w:tcPr>
            <w:tcW w:w="2160" w:type="dxa"/>
          </w:tcPr>
          <w:p w14:paraId="324D7B20">
            <w:pPr>
              <w:spacing w:after="0" w:line="240" w:lineRule="auto"/>
            </w:pPr>
            <w:r>
              <w:t>验证集 MAE</w:t>
            </w:r>
          </w:p>
        </w:tc>
      </w:tr>
    </w:tbl>
    <w:p w14:paraId="7C1E567E">
      <w:r>
        <w:rPr>
          <w:b w:val="0"/>
          <w:i/>
          <w:sz w:val="18"/>
        </w:rPr>
        <w:t>表3. 超参数网格（每个模型族4种配置；每个网格点的验证得分均保存在 modeling/outputs/model_spec.json 中）。</w:t>
      </w:r>
    </w:p>
    <w:p w14:paraId="4B59602F">
      <w:pPr>
        <w:pStyle w:val="3"/>
      </w:pPr>
      <w:r>
        <w:t>2.8 评估方法</w:t>
      </w:r>
    </w:p>
    <w:p w14:paraId="7F5E27C9">
      <w:r>
        <w:rPr>
          <w:b w:val="0"/>
          <w:i w:val="0"/>
        </w:rPr>
        <w:t>回归性能（总分及各轴评分）以平均绝对误差（MAE）与均方根误差（RMSE）报告，附1000次重抽样自助法95%置信区间，与持续性基线（SOFA_hat(T+6) = SOFA_now）比较——任何模型若其置信区间未能明显优于持续性基线，即视为未提供预测价值。分类性能（恶化预测）以 AUROC、AUPRC 与 Brier 评分报告，附自助法置信区间，与依据结局患病率解析计算得到的无技能参考基准比较：一个无信息分类器的AUROC恒为0.5，但其AUPRC等于患病率，而非0.5（Saito &amp; Rehmsmeier, 2015）——在该结局约4%的基础发生率下这一点尤为重要。校准情况通过十分位可靠性表（平均预测概率与观察到的事件发生率对比）单独评估。针对主力模型族，还报告了按血流动力学不稳定状态（输入窗口内最低平均动脉压 &lt; 65 mmHg）划分的亚组分析。置换重要性分析（n_repeats=3，固定2000行验证集子样本）用于解读主力模型族的特征使用情况。测试集仅在验证集上完成模型选择之后解锁一次。</w:t>
      </w:r>
    </w:p>
    <w:p w14:paraId="5C79D2B0">
      <w:pPr>
        <w:pStyle w:val="3"/>
      </w:pPr>
      <w:r>
        <w:t>2.9 实现验证</w:t>
      </w:r>
    </w:p>
    <w:p w14:paraId="6D3D3A7F">
      <w:r>
        <w:rPr>
          <w:b w:val="0"/>
          <w:i w:val="0"/>
        </w:rPr>
        <w:t>只有在真实硬件上实际执行完整流程之后，才发现了两处缺陷——单靠代码审查无法发现——本报告在此如实报告，而非悄悄修复，以贯彻本报告自身对透明度的一贯要求：</w:t>
      </w:r>
    </w:p>
    <w:p w14:paraId="52B0D33C">
      <w:pPr>
        <w:pStyle w:val="23"/>
      </w:pPr>
      <w:r>
        <w:t>一处 CatBoost 特有的缺陷：CatBoost 的类别特征处理机制会拒绝类型为 float64 且含NaN值的列，即便对于像决策时间（24.0）这样干净的小整数编码也是如此；修复方式为将类别列转换为带明确缺失值哨兵的字符串，并在拟合与预测阶段保持完全一致。</w:t>
      </w:r>
    </w:p>
    <w:p w14:paraId="2594187E">
      <w:pPr>
        <w:pStyle w:val="23"/>
      </w:pPr>
      <w:r>
        <w:t>一处跨模型族的评估公平性缺陷：四个基于增量值的模型族的预测结果，只要患者某轴的当前状态评分（该轴的 SOFA_now）缺失，就会悄悄产生NaN——取决于具体的轴，这种情况占0.9%到60%的行不等——这使得它们的评估被限制在仅有约22%的、六个轴同时都有测量值的行中。而序数模型族与持续性基线由于从不产生NaN，仍然是在完整、更困难的总体上被评分。这使得基于增量值的模型族看起来比实际情况更好（一个更容易的子集），也使得序数模型族在一场并不对等的比较中看起来比持续性基线更差。修复方案对所有模型族采用统一规则：当某轴的当前状态评分缺失时，该轴预测值回退为0，与总SOFA聚合数值已经采用的宽松惯例保持一致，使本报告中每个模型族与持续性基线始终在完全相同的总体上进行比较。</w:t>
      </w:r>
    </w:p>
    <w:p w14:paraId="02513649">
      <w:pPr>
        <w:pStyle w:val="3"/>
      </w:pPr>
      <w:r>
        <w:t>2.10 绝对值与增量值消融实验</w:t>
      </w:r>
    </w:p>
    <w:p w14:paraId="6B5ABB99">
      <w:r>
        <w:rPr>
          <w:b w:val="0"/>
          <w:i w:val="0"/>
        </w:rPr>
        <w:t>在五个主力模型族中，只有序数模型直接预测绝对目标评分；HistGradientBoosting、线性模型、CatBoost 与 LightGBM 均预测相对 SOFA_now 的增量值再重建。这在第3.2节的主要结果比较中留下了一个真实的混杂因素：序数模型最低的MAE，究竟反映的是其累积二分类分解本身，还是仅仅反映了在该任务上直接预测绝对值优于预测增量值——这是两种不同的结论，仅凭该比较本身无法区分，因为序数模型是唯一同时改变了“建模形式”与“目标表示方式”这两个变量的模型族。为了将二者分离，本研究训练了一个对照模型（histgb_absolute）：使用与主力 HistGradientBoosting 模型族（表3）完全相同的基础学习器（HistGradientBoostingRegressor）、相同的网格与选择协议，唯一的改变是目标列——直接使用绝对评分 f"{axis}_score"，而非增量值f"{axis}_delta"。比较 histgb+增量值 与 histgb+绝对值 与 序数+绝对值，一方面固定基础学习器、改变目标表示方式，另一方面固定目标表示方式（绝对值）、改变建模形式（普通回归 vs. 序数分解）——从而将主要结果比较中混在一起的两种效应分离开来。同样应用了第2.9节所述的“当前值缺失回退为0”机制，使该消融实验与其他所有模型族在完全相同的总体上被评分。同时报告了增量值本身的预测准确度（预测与观察到的六小时变化对比，独立于重建过程），以直接回应“一个在绝对评分上战胜持续性基线的模型，是否仅仅是在利用变化本就很少发生这一事实，而非真正追踪了轨迹信息”这一疑虑。</w:t>
      </w:r>
    </w:p>
    <w:p w14:paraId="3C7E4FD7">
      <w:pPr>
        <w:pStyle w:val="3"/>
      </w:pPr>
      <w:r>
        <w:t>2.11 目标波动性、评分退化程度与风险分层价值</w:t>
      </w:r>
    </w:p>
    <w:p w14:paraId="7F48D891">
      <w:r>
        <w:rPr>
          <w:b w:val="0"/>
          <w:i w:val="0"/>
        </w:rPr>
        <w:t>另外三项分析用真实数据直接回答了读者在全盘接受轴间异质性发现（第3.3节）之前理应提出的问题：为何持续性基线在六个轴中的五个上都占优？心血管轴缺失的血管加压药数据是否正是罪魁祸首？以及——与具体机制无关——这项研究究竟有什么实际用处？三项分析均复用已经计算好的成果，均无需重新训练模型。</w:t>
      </w:r>
    </w:p>
    <w:p w14:paraId="1B8B3EC4">
      <w:pPr>
        <w:pStyle w:val="23"/>
      </w:pPr>
      <w:r>
        <w:t>目标波动性（第3.8节）。对每个轴，使用 targets.csv 中每一行有测量值的记录（跨划分与跨时间点合并统计——这描述的是结局变量本身的固有属性，而非某个模型，因此合并统计是合适的，也不存在任何训练/测试集信息泄漏风险），用以下指标总结真实的六小时变化（{axis}_delta）：变化恰好为零的行所占比例、平均绝对变化量、及其标准差。这直接从结局一侧衡量究竟有多少东西值得预测——比此前草稿所依赖的模型侧证据（置换重要性）更具决定性。</w:t>
      </w:r>
    </w:p>
    <w:p w14:paraId="3174B79C">
      <w:pPr>
        <w:pStyle w:val="23"/>
      </w:pPr>
      <w:r>
        <w:t>心血管评分退化程度（第3.9节）。将心血管评分的完整取值分布（而不仅是其增量值）与肾脏评分对比——肾脏轴同样输给了持续性基线，但并不受任何数据缺失上限的约束——以检验这两个轴的失利是否出于同一原因。</w:t>
      </w:r>
    </w:p>
    <w:p w14:paraId="3B7AACA5">
      <w:pPr>
        <w:pStyle w:val="23"/>
      </w:pPr>
      <w:r>
        <w:t>风险分层价值（第3.10节）。使用主力模型族的恶化分类器，按预测概率对全部测试集行排序；对排名前5%、10%和20%的行，计算落入该切片的真实恶化事件所占比例（捕获率），并与随机抽取相同数量行相比的提升倍数一并报告（evaluate.capture_rate_report，新增函数）。这将 AUROC/AUPRC 转化为一个具体、直观的实际价值陈述。</w:t>
      </w:r>
    </w:p>
    <w:p w14:paraId="20E150B0">
      <w:r>
        <w:br w:type="page"/>
      </w:r>
    </w:p>
    <w:p w14:paraId="25DE0419">
      <w:pPr>
        <w:pStyle w:val="2"/>
      </w:pPr>
      <w:r>
        <w:t>3. 结果</w:t>
      </w:r>
    </w:p>
    <w:p w14:paraId="4BFE7453">
      <w:pPr>
        <w:pStyle w:val="3"/>
      </w:pPr>
      <w:r>
        <w:t>3.1 基线与无技能参考值</w:t>
      </w:r>
    </w:p>
    <w:p w14:paraId="29233C64">
      <w:r>
        <w:rPr>
          <w:b w:val="0"/>
          <w:i w:val="0"/>
        </w:rPr>
        <w:t>表4给出了每个训练模型都必须超越的参考值。在测试集上，持续性基线的总SOFA MAE从0.59（h42）到0.96（h24）不等——随时间点增大而降低，因为在更晚的决策时间点，目标窗口中未被观测到的部分占比更小。恶化结局的患病率在验证集为3.9%，测试集为4.5%；因此无信息分类器的AUPRC应落在这些数值附近，而非0，其AUROC则无论患病率如何，按定义恒为0.5。</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19BCC6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EA65496">
            <w:pPr>
              <w:spacing w:after="0" w:line="240" w:lineRule="auto"/>
            </w:pPr>
            <w:r>
              <w:rPr>
                <w:b/>
              </w:rPr>
              <w:t>时间点</w:t>
            </w:r>
          </w:p>
        </w:tc>
        <w:tc>
          <w:tcPr>
            <w:tcW w:w="4320" w:type="dxa"/>
          </w:tcPr>
          <w:p w14:paraId="3CAE3BE1">
            <w:pPr>
              <w:spacing w:after="0" w:line="240" w:lineRule="auto"/>
            </w:pPr>
            <w:r>
              <w:rPr>
                <w:b/>
              </w:rPr>
              <w:t>持续性基线 MAE（测试集，95%置信区间）</w:t>
            </w:r>
          </w:p>
        </w:tc>
      </w:tr>
      <w:tr w14:paraId="2E0143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D1A8717">
            <w:pPr>
              <w:spacing w:after="0" w:line="240" w:lineRule="auto"/>
            </w:pPr>
            <w:r>
              <w:t>T = 24 小时</w:t>
            </w:r>
          </w:p>
        </w:tc>
        <w:tc>
          <w:tcPr>
            <w:tcW w:w="4320" w:type="dxa"/>
          </w:tcPr>
          <w:p w14:paraId="071757F7">
            <w:pPr>
              <w:spacing w:after="0" w:line="240" w:lineRule="auto"/>
            </w:pPr>
            <w:r>
              <w:t>0.957 (0.890, 1.018)</w:t>
            </w:r>
          </w:p>
        </w:tc>
      </w:tr>
      <w:tr w14:paraId="0E381C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F7C308F">
            <w:pPr>
              <w:spacing w:after="0" w:line="240" w:lineRule="auto"/>
            </w:pPr>
            <w:r>
              <w:t>T = 30 小时</w:t>
            </w:r>
          </w:p>
        </w:tc>
        <w:tc>
          <w:tcPr>
            <w:tcW w:w="4320" w:type="dxa"/>
          </w:tcPr>
          <w:p w14:paraId="0E299C17">
            <w:pPr>
              <w:spacing w:after="0" w:line="240" w:lineRule="auto"/>
            </w:pPr>
            <w:r>
              <w:t>0.706 (0.660, 0.753)</w:t>
            </w:r>
          </w:p>
        </w:tc>
      </w:tr>
      <w:tr w14:paraId="060337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FFBBAC8">
            <w:pPr>
              <w:spacing w:after="0" w:line="240" w:lineRule="auto"/>
            </w:pPr>
            <w:r>
              <w:t>T = 36 小时</w:t>
            </w:r>
          </w:p>
        </w:tc>
        <w:tc>
          <w:tcPr>
            <w:tcW w:w="4320" w:type="dxa"/>
          </w:tcPr>
          <w:p w14:paraId="7E2F9598">
            <w:pPr>
              <w:spacing w:after="0" w:line="240" w:lineRule="auto"/>
            </w:pPr>
            <w:r>
              <w:t>0.645 (0.597, 0.694)</w:t>
            </w:r>
          </w:p>
        </w:tc>
      </w:tr>
      <w:tr w14:paraId="1E7E1D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6BA0E24">
            <w:pPr>
              <w:spacing w:after="0" w:line="240" w:lineRule="auto"/>
            </w:pPr>
            <w:r>
              <w:t>T = 42 小时</w:t>
            </w:r>
          </w:p>
        </w:tc>
        <w:tc>
          <w:tcPr>
            <w:tcW w:w="4320" w:type="dxa"/>
          </w:tcPr>
          <w:p w14:paraId="18FF2515">
            <w:pPr>
              <w:spacing w:after="0" w:line="240" w:lineRule="auto"/>
            </w:pPr>
            <w:r>
              <w:t>0.594 (0.542, 0.644)</w:t>
            </w:r>
          </w:p>
        </w:tc>
      </w:tr>
    </w:tbl>
    <w:p w14:paraId="4DE76D46">
      <w:r>
        <w:rPr>
          <w:b w:val="0"/>
          <w:i/>
          <w:sz w:val="18"/>
        </w:rPr>
        <w:t>表4a. 持续性基线，总SOFA MAE，测试集。</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1CC764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AC373F5">
            <w:pPr>
              <w:spacing w:after="0" w:line="240" w:lineRule="auto"/>
            </w:pPr>
            <w:r>
              <w:rPr>
                <w:b/>
              </w:rPr>
              <w:t>划分</w:t>
            </w:r>
          </w:p>
        </w:tc>
        <w:tc>
          <w:tcPr>
            <w:tcW w:w="1728" w:type="dxa"/>
          </w:tcPr>
          <w:p w14:paraId="12BF7B78">
            <w:pPr>
              <w:spacing w:after="0" w:line="240" w:lineRule="auto"/>
            </w:pPr>
            <w:r>
              <w:rPr>
                <w:b/>
              </w:rPr>
              <w:t>N</w:t>
            </w:r>
          </w:p>
        </w:tc>
        <w:tc>
          <w:tcPr>
            <w:tcW w:w="1728" w:type="dxa"/>
          </w:tcPr>
          <w:p w14:paraId="08CEB854">
            <w:pPr>
              <w:spacing w:after="0" w:line="240" w:lineRule="auto"/>
            </w:pPr>
            <w:r>
              <w:rPr>
                <w:b/>
              </w:rPr>
              <w:t>患病率（=无技能AUPRC）</w:t>
            </w:r>
          </w:p>
        </w:tc>
        <w:tc>
          <w:tcPr>
            <w:tcW w:w="1728" w:type="dxa"/>
          </w:tcPr>
          <w:p w14:paraId="2F9CEA79">
            <w:pPr>
              <w:spacing w:after="0" w:line="240" w:lineRule="auto"/>
            </w:pPr>
            <w:r>
              <w:rPr>
                <w:b/>
              </w:rPr>
              <w:t>无技能AUROC</w:t>
            </w:r>
          </w:p>
        </w:tc>
        <w:tc>
          <w:tcPr>
            <w:tcW w:w="1728" w:type="dxa"/>
          </w:tcPr>
          <w:p w14:paraId="657C9DE2">
            <w:pPr>
              <w:spacing w:after="0" w:line="240" w:lineRule="auto"/>
            </w:pPr>
            <w:r>
              <w:rPr>
                <w:b/>
              </w:rPr>
              <w:t>无技能Brier</w:t>
            </w:r>
          </w:p>
        </w:tc>
      </w:tr>
      <w:tr w14:paraId="1C3AB0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B8666D2">
            <w:pPr>
              <w:spacing w:after="0" w:line="240" w:lineRule="auto"/>
            </w:pPr>
            <w:r>
              <w:t>验证集</w:t>
            </w:r>
          </w:p>
        </w:tc>
        <w:tc>
          <w:tcPr>
            <w:tcW w:w="1728" w:type="dxa"/>
          </w:tcPr>
          <w:p w14:paraId="050A48CC">
            <w:pPr>
              <w:spacing w:after="0" w:line="240" w:lineRule="auto"/>
            </w:pPr>
            <w:r>
              <w:t>7,179</w:t>
            </w:r>
          </w:p>
        </w:tc>
        <w:tc>
          <w:tcPr>
            <w:tcW w:w="1728" w:type="dxa"/>
          </w:tcPr>
          <w:p w14:paraId="2A8ABFB7">
            <w:pPr>
              <w:spacing w:after="0" w:line="240" w:lineRule="auto"/>
            </w:pPr>
            <w:r>
              <w:t>0.0386</w:t>
            </w:r>
          </w:p>
        </w:tc>
        <w:tc>
          <w:tcPr>
            <w:tcW w:w="1728" w:type="dxa"/>
          </w:tcPr>
          <w:p w14:paraId="4F528D87">
            <w:pPr>
              <w:spacing w:after="0" w:line="240" w:lineRule="auto"/>
            </w:pPr>
            <w:r>
              <w:t>0.500</w:t>
            </w:r>
          </w:p>
        </w:tc>
        <w:tc>
          <w:tcPr>
            <w:tcW w:w="1728" w:type="dxa"/>
          </w:tcPr>
          <w:p w14:paraId="729F937E">
            <w:pPr>
              <w:spacing w:after="0" w:line="240" w:lineRule="auto"/>
            </w:pPr>
            <w:r>
              <w:t>0.0371</w:t>
            </w:r>
          </w:p>
        </w:tc>
      </w:tr>
      <w:tr w14:paraId="585C03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AEDD259">
            <w:pPr>
              <w:spacing w:after="0" w:line="240" w:lineRule="auto"/>
            </w:pPr>
            <w:r>
              <w:t>测试集</w:t>
            </w:r>
          </w:p>
        </w:tc>
        <w:tc>
          <w:tcPr>
            <w:tcW w:w="1728" w:type="dxa"/>
          </w:tcPr>
          <w:p w14:paraId="11706D19">
            <w:pPr>
              <w:spacing w:after="0" w:line="240" w:lineRule="auto"/>
            </w:pPr>
            <w:r>
              <w:t>7,187</w:t>
            </w:r>
          </w:p>
        </w:tc>
        <w:tc>
          <w:tcPr>
            <w:tcW w:w="1728" w:type="dxa"/>
          </w:tcPr>
          <w:p w14:paraId="7BE2B1FF">
            <w:pPr>
              <w:spacing w:after="0" w:line="240" w:lineRule="auto"/>
            </w:pPr>
            <w:r>
              <w:t>0.0451</w:t>
            </w:r>
          </w:p>
        </w:tc>
        <w:tc>
          <w:tcPr>
            <w:tcW w:w="1728" w:type="dxa"/>
          </w:tcPr>
          <w:p w14:paraId="187CE0F0">
            <w:pPr>
              <w:spacing w:after="0" w:line="240" w:lineRule="auto"/>
            </w:pPr>
            <w:r>
              <w:t>0.500</w:t>
            </w:r>
          </w:p>
        </w:tc>
        <w:tc>
          <w:tcPr>
            <w:tcW w:w="1728" w:type="dxa"/>
          </w:tcPr>
          <w:p w14:paraId="12EDDE1A">
            <w:pPr>
              <w:spacing w:after="0" w:line="240" w:lineRule="auto"/>
            </w:pPr>
            <w:r>
              <w:t>0.0430</w:t>
            </w:r>
          </w:p>
        </w:tc>
      </w:tr>
    </w:tbl>
    <w:p w14:paraId="3D171B17">
      <w:r>
        <w:rPr>
          <w:b w:val="0"/>
          <w:i/>
          <w:sz w:val="18"/>
        </w:rPr>
        <w:t>表4b. 恶化分类器的无技能参考值。</w:t>
      </w:r>
    </w:p>
    <w:p w14:paraId="22F6D51C">
      <w:pPr>
        <w:pStyle w:val="3"/>
      </w:pPr>
      <w:r>
        <w:t>3.2 总SOFA预测性能</w:t>
      </w:r>
    </w:p>
    <w:p w14:paraId="46D80633">
      <w:r>
        <w:rPr>
          <w:b w:val="0"/>
          <w:i w:val="0"/>
        </w:rPr>
        <w:t>表5报告了测试集上每个模型族在每个时间点的总SOFA MAE。五个模型族中有四个在全部四个时间点均优于持续性基线；序数模型族在每个时间点MAE均最低。线性基线仅在h24时优于持续性基线，在h30/h36/h42均劣于持续性基线——是唯一一个在首个时间点之后未能满足本项目自定成功标准的模型族。验证集结果（此处不再完整重复，详见notebook第11节）显示出完全相同的排名，说明该模型族比较并非模型选择过程中过拟合测试集所致的假象。</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76"/>
      </w:tblGrid>
      <w:tr w14:paraId="544B6F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75A649BC">
            <w:pPr>
              <w:spacing w:after="0" w:line="240" w:lineRule="auto"/>
            </w:pPr>
            <w:r>
              <w:rPr>
                <w:b/>
              </w:rPr>
              <w:t>时间点</w:t>
            </w:r>
          </w:p>
        </w:tc>
        <w:tc>
          <w:tcPr>
            <w:tcW w:w="1234" w:type="dxa"/>
          </w:tcPr>
          <w:p w14:paraId="6A7F5E6E">
            <w:pPr>
              <w:spacing w:after="0" w:line="240" w:lineRule="auto"/>
            </w:pPr>
            <w:r>
              <w:rPr>
                <w:b/>
              </w:rPr>
              <w:t>持续性基线</w:t>
            </w:r>
          </w:p>
        </w:tc>
        <w:tc>
          <w:tcPr>
            <w:tcW w:w="1234" w:type="dxa"/>
          </w:tcPr>
          <w:p w14:paraId="1A16DD75">
            <w:pPr>
              <w:spacing w:after="0" w:line="240" w:lineRule="auto"/>
            </w:pPr>
            <w:r>
              <w:rPr>
                <w:b/>
              </w:rPr>
              <w:t>序数模型</w:t>
            </w:r>
          </w:p>
        </w:tc>
        <w:tc>
          <w:tcPr>
            <w:tcW w:w="1234" w:type="dxa"/>
          </w:tcPr>
          <w:p w14:paraId="0D848841">
            <w:pPr>
              <w:spacing w:after="0" w:line="240" w:lineRule="auto"/>
            </w:pPr>
            <w:r>
              <w:rPr>
                <w:b/>
              </w:rPr>
              <w:t>线性模型</w:t>
            </w:r>
          </w:p>
        </w:tc>
        <w:tc>
          <w:tcPr>
            <w:tcW w:w="1234" w:type="dxa"/>
          </w:tcPr>
          <w:p w14:paraId="654E6DB9">
            <w:pPr>
              <w:spacing w:after="0" w:line="240" w:lineRule="auto"/>
            </w:pPr>
            <w:r>
              <w:rPr>
                <w:b/>
              </w:rPr>
              <w:t>HistGB</w:t>
            </w:r>
          </w:p>
        </w:tc>
        <w:tc>
          <w:tcPr>
            <w:tcW w:w="1234" w:type="dxa"/>
          </w:tcPr>
          <w:p w14:paraId="5975F190">
            <w:pPr>
              <w:spacing w:after="0" w:line="240" w:lineRule="auto"/>
            </w:pPr>
            <w:r>
              <w:rPr>
                <w:b/>
              </w:rPr>
              <w:t>CatBoost</w:t>
            </w:r>
          </w:p>
        </w:tc>
        <w:tc>
          <w:tcPr>
            <w:tcW w:w="1234" w:type="dxa"/>
          </w:tcPr>
          <w:p w14:paraId="2A90A3E9">
            <w:pPr>
              <w:spacing w:after="0" w:line="240" w:lineRule="auto"/>
            </w:pPr>
            <w:r>
              <w:rPr>
                <w:b/>
              </w:rPr>
              <w:t>LightGBM</w:t>
            </w:r>
          </w:p>
        </w:tc>
      </w:tr>
      <w:tr w14:paraId="7AB388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51DC345">
            <w:pPr>
              <w:spacing w:after="0" w:line="240" w:lineRule="auto"/>
            </w:pPr>
            <w:r>
              <w:t>T = 24 小时</w:t>
            </w:r>
          </w:p>
        </w:tc>
        <w:tc>
          <w:tcPr>
            <w:tcW w:w="1234" w:type="dxa"/>
          </w:tcPr>
          <w:p w14:paraId="4E90A8B1">
            <w:pPr>
              <w:spacing w:after="0" w:line="240" w:lineRule="auto"/>
            </w:pPr>
            <w:r>
              <w:t>0.957</w:t>
            </w:r>
          </w:p>
        </w:tc>
        <w:tc>
          <w:tcPr>
            <w:tcW w:w="1234" w:type="dxa"/>
          </w:tcPr>
          <w:p w14:paraId="0E1A1DD6">
            <w:pPr>
              <w:spacing w:after="0" w:line="240" w:lineRule="auto"/>
            </w:pPr>
            <w:r>
              <w:t>0.629</w:t>
            </w:r>
          </w:p>
        </w:tc>
        <w:tc>
          <w:tcPr>
            <w:tcW w:w="1234" w:type="dxa"/>
          </w:tcPr>
          <w:p w14:paraId="39841993">
            <w:pPr>
              <w:spacing w:after="0" w:line="240" w:lineRule="auto"/>
            </w:pPr>
            <w:r>
              <w:t>0.798</w:t>
            </w:r>
          </w:p>
        </w:tc>
        <w:tc>
          <w:tcPr>
            <w:tcW w:w="1234" w:type="dxa"/>
          </w:tcPr>
          <w:p w14:paraId="043C1477">
            <w:pPr>
              <w:spacing w:after="0" w:line="240" w:lineRule="auto"/>
            </w:pPr>
            <w:r>
              <w:t>0.651</w:t>
            </w:r>
          </w:p>
        </w:tc>
        <w:tc>
          <w:tcPr>
            <w:tcW w:w="1234" w:type="dxa"/>
          </w:tcPr>
          <w:p w14:paraId="757326D2">
            <w:pPr>
              <w:spacing w:after="0" w:line="240" w:lineRule="auto"/>
            </w:pPr>
            <w:r>
              <w:t>0.677</w:t>
            </w:r>
          </w:p>
        </w:tc>
        <w:tc>
          <w:tcPr>
            <w:tcW w:w="1234" w:type="dxa"/>
          </w:tcPr>
          <w:p w14:paraId="2E656159">
            <w:pPr>
              <w:spacing w:after="0" w:line="240" w:lineRule="auto"/>
            </w:pPr>
            <w:r>
              <w:t>0.649</w:t>
            </w:r>
          </w:p>
        </w:tc>
      </w:tr>
      <w:tr w14:paraId="5CAC46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6D7762D4">
            <w:pPr>
              <w:spacing w:after="0" w:line="240" w:lineRule="auto"/>
            </w:pPr>
            <w:r>
              <w:t>T = 30 小时</w:t>
            </w:r>
          </w:p>
        </w:tc>
        <w:tc>
          <w:tcPr>
            <w:tcW w:w="1234" w:type="dxa"/>
          </w:tcPr>
          <w:p w14:paraId="3ED4AE77">
            <w:pPr>
              <w:spacing w:after="0" w:line="240" w:lineRule="auto"/>
            </w:pPr>
            <w:r>
              <w:t>0.706</w:t>
            </w:r>
          </w:p>
        </w:tc>
        <w:tc>
          <w:tcPr>
            <w:tcW w:w="1234" w:type="dxa"/>
          </w:tcPr>
          <w:p w14:paraId="012496F1">
            <w:pPr>
              <w:spacing w:after="0" w:line="240" w:lineRule="auto"/>
            </w:pPr>
            <w:r>
              <w:t>0.601</w:t>
            </w:r>
          </w:p>
        </w:tc>
        <w:tc>
          <w:tcPr>
            <w:tcW w:w="1234" w:type="dxa"/>
          </w:tcPr>
          <w:p w14:paraId="6B9DED6F">
            <w:pPr>
              <w:spacing w:after="0" w:line="240" w:lineRule="auto"/>
            </w:pPr>
            <w:r>
              <w:t>0.728</w:t>
            </w:r>
          </w:p>
        </w:tc>
        <w:tc>
          <w:tcPr>
            <w:tcW w:w="1234" w:type="dxa"/>
          </w:tcPr>
          <w:p w14:paraId="68EA0AE4">
            <w:pPr>
              <w:spacing w:after="0" w:line="240" w:lineRule="auto"/>
            </w:pPr>
            <w:r>
              <w:t>0.619</w:t>
            </w:r>
          </w:p>
        </w:tc>
        <w:tc>
          <w:tcPr>
            <w:tcW w:w="1234" w:type="dxa"/>
          </w:tcPr>
          <w:p w14:paraId="706F8965">
            <w:pPr>
              <w:spacing w:after="0" w:line="240" w:lineRule="auto"/>
            </w:pPr>
            <w:r>
              <w:t>0.635</w:t>
            </w:r>
          </w:p>
        </w:tc>
        <w:tc>
          <w:tcPr>
            <w:tcW w:w="1234" w:type="dxa"/>
          </w:tcPr>
          <w:p w14:paraId="393F58BE">
            <w:pPr>
              <w:spacing w:after="0" w:line="240" w:lineRule="auto"/>
            </w:pPr>
            <w:r>
              <w:t>0.626</w:t>
            </w:r>
          </w:p>
        </w:tc>
      </w:tr>
      <w:tr w14:paraId="21FD73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63672A04">
            <w:pPr>
              <w:spacing w:after="0" w:line="240" w:lineRule="auto"/>
            </w:pPr>
            <w:r>
              <w:t>T = 36 小时</w:t>
            </w:r>
          </w:p>
        </w:tc>
        <w:tc>
          <w:tcPr>
            <w:tcW w:w="1234" w:type="dxa"/>
          </w:tcPr>
          <w:p w14:paraId="639B4836">
            <w:pPr>
              <w:spacing w:after="0" w:line="240" w:lineRule="auto"/>
            </w:pPr>
            <w:r>
              <w:t>0.645</w:t>
            </w:r>
          </w:p>
        </w:tc>
        <w:tc>
          <w:tcPr>
            <w:tcW w:w="1234" w:type="dxa"/>
          </w:tcPr>
          <w:p w14:paraId="0D66A8C8">
            <w:pPr>
              <w:spacing w:after="0" w:line="240" w:lineRule="auto"/>
            </w:pPr>
            <w:r>
              <w:t>0.597</w:t>
            </w:r>
          </w:p>
        </w:tc>
        <w:tc>
          <w:tcPr>
            <w:tcW w:w="1234" w:type="dxa"/>
          </w:tcPr>
          <w:p w14:paraId="71075E33">
            <w:pPr>
              <w:spacing w:after="0" w:line="240" w:lineRule="auto"/>
            </w:pPr>
            <w:r>
              <w:t>0.722</w:t>
            </w:r>
          </w:p>
        </w:tc>
        <w:tc>
          <w:tcPr>
            <w:tcW w:w="1234" w:type="dxa"/>
          </w:tcPr>
          <w:p w14:paraId="306E2EF8">
            <w:pPr>
              <w:spacing w:after="0" w:line="240" w:lineRule="auto"/>
            </w:pPr>
            <w:r>
              <w:t>0.610</w:t>
            </w:r>
          </w:p>
        </w:tc>
        <w:tc>
          <w:tcPr>
            <w:tcW w:w="1234" w:type="dxa"/>
          </w:tcPr>
          <w:p w14:paraId="780A15FB">
            <w:pPr>
              <w:spacing w:after="0" w:line="240" w:lineRule="auto"/>
            </w:pPr>
            <w:r>
              <w:t>0.619</w:t>
            </w:r>
          </w:p>
        </w:tc>
        <w:tc>
          <w:tcPr>
            <w:tcW w:w="1234" w:type="dxa"/>
          </w:tcPr>
          <w:p w14:paraId="3C887B45">
            <w:pPr>
              <w:spacing w:after="0" w:line="240" w:lineRule="auto"/>
            </w:pPr>
            <w:r>
              <w:t>0.615</w:t>
            </w:r>
          </w:p>
        </w:tc>
      </w:tr>
      <w:tr w14:paraId="577C63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21F64854">
            <w:pPr>
              <w:spacing w:after="0" w:line="240" w:lineRule="auto"/>
            </w:pPr>
            <w:r>
              <w:t>T = 42 小时</w:t>
            </w:r>
          </w:p>
        </w:tc>
        <w:tc>
          <w:tcPr>
            <w:tcW w:w="1234" w:type="dxa"/>
          </w:tcPr>
          <w:p w14:paraId="0C145A96">
            <w:pPr>
              <w:spacing w:after="0" w:line="240" w:lineRule="auto"/>
            </w:pPr>
            <w:r>
              <w:t>0.594</w:t>
            </w:r>
          </w:p>
        </w:tc>
        <w:tc>
          <w:tcPr>
            <w:tcW w:w="1234" w:type="dxa"/>
          </w:tcPr>
          <w:p w14:paraId="18B04DDF">
            <w:pPr>
              <w:spacing w:after="0" w:line="240" w:lineRule="auto"/>
            </w:pPr>
            <w:r>
              <w:t>0.536</w:t>
            </w:r>
          </w:p>
        </w:tc>
        <w:tc>
          <w:tcPr>
            <w:tcW w:w="1234" w:type="dxa"/>
          </w:tcPr>
          <w:p w14:paraId="01EB5E67">
            <w:pPr>
              <w:spacing w:after="0" w:line="240" w:lineRule="auto"/>
            </w:pPr>
            <w:r>
              <w:t>0.681</w:t>
            </w:r>
          </w:p>
        </w:tc>
        <w:tc>
          <w:tcPr>
            <w:tcW w:w="1234" w:type="dxa"/>
          </w:tcPr>
          <w:p w14:paraId="5032BF9C">
            <w:pPr>
              <w:spacing w:after="0" w:line="240" w:lineRule="auto"/>
            </w:pPr>
            <w:r>
              <w:t>0.553</w:t>
            </w:r>
          </w:p>
        </w:tc>
        <w:tc>
          <w:tcPr>
            <w:tcW w:w="1234" w:type="dxa"/>
          </w:tcPr>
          <w:p w14:paraId="6C9C7901">
            <w:pPr>
              <w:spacing w:after="0" w:line="240" w:lineRule="auto"/>
            </w:pPr>
            <w:r>
              <w:t>0.561</w:t>
            </w:r>
          </w:p>
        </w:tc>
        <w:tc>
          <w:tcPr>
            <w:tcW w:w="1234" w:type="dxa"/>
          </w:tcPr>
          <w:p w14:paraId="765B61F9">
            <w:pPr>
              <w:spacing w:after="0" w:line="240" w:lineRule="auto"/>
            </w:pPr>
            <w:r>
              <w:t>0.560</w:t>
            </w:r>
          </w:p>
        </w:tc>
      </w:tr>
      <w:tr w14:paraId="4DEC7C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40C2003">
            <w:pPr>
              <w:spacing w:after="0" w:line="240" w:lineRule="auto"/>
            </w:pPr>
            <w:r>
              <w:t>均值（4个时间点）</w:t>
            </w:r>
          </w:p>
        </w:tc>
        <w:tc>
          <w:tcPr>
            <w:tcW w:w="1234" w:type="dxa"/>
          </w:tcPr>
          <w:p w14:paraId="162C1F47">
            <w:pPr>
              <w:spacing w:after="0" w:line="240" w:lineRule="auto"/>
            </w:pPr>
            <w:r>
              <w:t>0.726</w:t>
            </w:r>
          </w:p>
        </w:tc>
        <w:tc>
          <w:tcPr>
            <w:tcW w:w="1234" w:type="dxa"/>
          </w:tcPr>
          <w:p w14:paraId="575DE588">
            <w:pPr>
              <w:spacing w:after="0" w:line="240" w:lineRule="auto"/>
            </w:pPr>
            <w:r>
              <w:t>0.591</w:t>
            </w:r>
          </w:p>
        </w:tc>
        <w:tc>
          <w:tcPr>
            <w:tcW w:w="1234" w:type="dxa"/>
          </w:tcPr>
          <w:p w14:paraId="3B211215">
            <w:pPr>
              <w:spacing w:after="0" w:line="240" w:lineRule="auto"/>
            </w:pPr>
            <w:r>
              <w:t>0.732</w:t>
            </w:r>
          </w:p>
        </w:tc>
        <w:tc>
          <w:tcPr>
            <w:tcW w:w="1234" w:type="dxa"/>
          </w:tcPr>
          <w:p w14:paraId="30AB614F">
            <w:pPr>
              <w:spacing w:after="0" w:line="240" w:lineRule="auto"/>
            </w:pPr>
            <w:r>
              <w:t>0.608</w:t>
            </w:r>
          </w:p>
        </w:tc>
        <w:tc>
          <w:tcPr>
            <w:tcW w:w="1234" w:type="dxa"/>
          </w:tcPr>
          <w:p w14:paraId="47624425">
            <w:pPr>
              <w:spacing w:after="0" w:line="240" w:lineRule="auto"/>
            </w:pPr>
            <w:r>
              <w:t>0.623</w:t>
            </w:r>
          </w:p>
        </w:tc>
        <w:tc>
          <w:tcPr>
            <w:tcW w:w="1234" w:type="dxa"/>
          </w:tcPr>
          <w:p w14:paraId="54D1B85D">
            <w:pPr>
              <w:spacing w:after="0" w:line="240" w:lineRule="auto"/>
            </w:pPr>
            <w:r>
              <w:t>0.612</w:t>
            </w:r>
          </w:p>
        </w:tc>
      </w:tr>
    </w:tbl>
    <w:p w14:paraId="79E33807">
      <w:r>
        <w:rPr>
          <w:b w:val="0"/>
          <w:i/>
          <w:sz w:val="18"/>
        </w:rPr>
        <w:t>表5. 各模型族按时间点划分的总SOFA MAE，测试集。值得注意的模式：序数模型在每个时间点均最低；线性模型是唯一平均劣于持续性基线的模型族。</w:t>
      </w:r>
    </w:p>
    <w:p w14:paraId="42CF5A50">
      <w:pPr>
        <w:pStyle w:val="3"/>
      </w:pPr>
      <w:r>
        <w:t>3.3 各轴表现：改善程度分布并不均匀</w:t>
      </w:r>
    </w:p>
    <w:p w14:paraId="6FE9C7ED">
      <w:r>
        <w:rPr>
          <w:b w:val="0"/>
          <w:i w:val="0"/>
        </w:rPr>
        <w:t>表6汇总了各轴在测试集上四个时间点的平均MAE，涵盖持续性基线以及表现最好的两个模型族（序数模型与HistGB）。该模式在两个模型族之间保持一致，经检验在CatBoost与LightGBM上也是如此：只有神经系统轴表现出明确的、跨时间点一致的、优于持续性基线的改善。对于其余每个轴——呼吸、凝血、肝脏、心血管与肾脏——每个训练模型族的平均MAE都等于或高于（劣于）持续性基线。</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44F11D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D2AB0D6">
            <w:pPr>
              <w:spacing w:after="0" w:line="240" w:lineRule="auto"/>
            </w:pPr>
            <w:r>
              <w:rPr>
                <w:b/>
              </w:rPr>
              <w:t>轴</w:t>
            </w:r>
          </w:p>
        </w:tc>
        <w:tc>
          <w:tcPr>
            <w:tcW w:w="1728" w:type="dxa"/>
          </w:tcPr>
          <w:p w14:paraId="4DA5F59C">
            <w:pPr>
              <w:spacing w:after="0" w:line="240" w:lineRule="auto"/>
            </w:pPr>
            <w:r>
              <w:rPr>
                <w:b/>
              </w:rPr>
              <w:t>持续性基线</w:t>
            </w:r>
          </w:p>
        </w:tc>
        <w:tc>
          <w:tcPr>
            <w:tcW w:w="1728" w:type="dxa"/>
          </w:tcPr>
          <w:p w14:paraId="09955C59">
            <w:pPr>
              <w:spacing w:after="0" w:line="240" w:lineRule="auto"/>
            </w:pPr>
            <w:r>
              <w:rPr>
                <w:b/>
              </w:rPr>
              <w:t>序数模型</w:t>
            </w:r>
          </w:p>
        </w:tc>
        <w:tc>
          <w:tcPr>
            <w:tcW w:w="1728" w:type="dxa"/>
          </w:tcPr>
          <w:p w14:paraId="33B160A7">
            <w:pPr>
              <w:spacing w:after="0" w:line="240" w:lineRule="auto"/>
            </w:pPr>
            <w:r>
              <w:rPr>
                <w:b/>
              </w:rPr>
              <w:t>HistGB</w:t>
            </w:r>
          </w:p>
        </w:tc>
        <w:tc>
          <w:tcPr>
            <w:tcW w:w="1728" w:type="dxa"/>
          </w:tcPr>
          <w:p w14:paraId="3351ED16">
            <w:pPr>
              <w:spacing w:after="0" w:line="240" w:lineRule="auto"/>
            </w:pPr>
            <w:r>
              <w:rPr>
                <w:b/>
              </w:rPr>
              <w:t>模式</w:t>
            </w:r>
          </w:p>
        </w:tc>
      </w:tr>
      <w:tr w14:paraId="160A4A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6AFEEB1">
            <w:pPr>
              <w:spacing w:after="0" w:line="240" w:lineRule="auto"/>
            </w:pPr>
            <w:r>
              <w:t>呼吸</w:t>
            </w:r>
          </w:p>
        </w:tc>
        <w:tc>
          <w:tcPr>
            <w:tcW w:w="1728" w:type="dxa"/>
          </w:tcPr>
          <w:p w14:paraId="61DB4CB0">
            <w:pPr>
              <w:spacing w:after="0" w:line="240" w:lineRule="auto"/>
            </w:pPr>
            <w:r>
              <w:t>0.305</w:t>
            </w:r>
          </w:p>
        </w:tc>
        <w:tc>
          <w:tcPr>
            <w:tcW w:w="1728" w:type="dxa"/>
          </w:tcPr>
          <w:p w14:paraId="647FDC81">
            <w:pPr>
              <w:spacing w:after="0" w:line="240" w:lineRule="auto"/>
            </w:pPr>
            <w:r>
              <w:t>0.335</w:t>
            </w:r>
          </w:p>
        </w:tc>
        <w:tc>
          <w:tcPr>
            <w:tcW w:w="1728" w:type="dxa"/>
          </w:tcPr>
          <w:p w14:paraId="1275A15A">
            <w:pPr>
              <w:spacing w:after="0" w:line="240" w:lineRule="auto"/>
            </w:pPr>
            <w:r>
              <w:t>0.340</w:t>
            </w:r>
          </w:p>
        </w:tc>
        <w:tc>
          <w:tcPr>
            <w:tcW w:w="1728" w:type="dxa"/>
          </w:tcPr>
          <w:p w14:paraId="19125E51">
            <w:pPr>
              <w:spacing w:after="0" w:line="240" w:lineRule="auto"/>
            </w:pPr>
            <w:r>
              <w:t>持续性基线更优</w:t>
            </w:r>
          </w:p>
        </w:tc>
      </w:tr>
      <w:tr w14:paraId="58A77D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425AECB">
            <w:pPr>
              <w:spacing w:after="0" w:line="240" w:lineRule="auto"/>
            </w:pPr>
            <w:r>
              <w:t>凝血</w:t>
            </w:r>
          </w:p>
        </w:tc>
        <w:tc>
          <w:tcPr>
            <w:tcW w:w="1728" w:type="dxa"/>
          </w:tcPr>
          <w:p w14:paraId="31AB0704">
            <w:pPr>
              <w:spacing w:after="0" w:line="240" w:lineRule="auto"/>
            </w:pPr>
            <w:r>
              <w:t>0.082</w:t>
            </w:r>
          </w:p>
        </w:tc>
        <w:tc>
          <w:tcPr>
            <w:tcW w:w="1728" w:type="dxa"/>
          </w:tcPr>
          <w:p w14:paraId="757EE974">
            <w:pPr>
              <w:spacing w:after="0" w:line="240" w:lineRule="auto"/>
            </w:pPr>
            <w:r>
              <w:t>0.087</w:t>
            </w:r>
          </w:p>
        </w:tc>
        <w:tc>
          <w:tcPr>
            <w:tcW w:w="1728" w:type="dxa"/>
          </w:tcPr>
          <w:p w14:paraId="44DE84A8">
            <w:pPr>
              <w:spacing w:after="0" w:line="240" w:lineRule="auto"/>
            </w:pPr>
            <w:r>
              <w:t>0.096</w:t>
            </w:r>
          </w:p>
        </w:tc>
        <w:tc>
          <w:tcPr>
            <w:tcW w:w="1728" w:type="dxa"/>
          </w:tcPr>
          <w:p w14:paraId="51163C41">
            <w:pPr>
              <w:spacing w:after="0" w:line="240" w:lineRule="auto"/>
            </w:pPr>
            <w:r>
              <w:t>持续性基线≈更优</w:t>
            </w:r>
          </w:p>
        </w:tc>
      </w:tr>
      <w:tr w14:paraId="72DD28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95E8F29">
            <w:pPr>
              <w:spacing w:after="0" w:line="240" w:lineRule="auto"/>
            </w:pPr>
            <w:r>
              <w:t>肝脏</w:t>
            </w:r>
          </w:p>
        </w:tc>
        <w:tc>
          <w:tcPr>
            <w:tcW w:w="1728" w:type="dxa"/>
          </w:tcPr>
          <w:p w14:paraId="2B8F3898">
            <w:pPr>
              <w:spacing w:after="0" w:line="240" w:lineRule="auto"/>
            </w:pPr>
            <w:r>
              <w:t>0.040</w:t>
            </w:r>
          </w:p>
        </w:tc>
        <w:tc>
          <w:tcPr>
            <w:tcW w:w="1728" w:type="dxa"/>
          </w:tcPr>
          <w:p w14:paraId="16E3717C">
            <w:pPr>
              <w:spacing w:after="0" w:line="240" w:lineRule="auto"/>
            </w:pPr>
            <w:r>
              <w:t>0.047</w:t>
            </w:r>
          </w:p>
        </w:tc>
        <w:tc>
          <w:tcPr>
            <w:tcW w:w="1728" w:type="dxa"/>
          </w:tcPr>
          <w:p w14:paraId="5F1AB8CB">
            <w:pPr>
              <w:spacing w:after="0" w:line="240" w:lineRule="auto"/>
            </w:pPr>
            <w:r>
              <w:t>0.052</w:t>
            </w:r>
          </w:p>
        </w:tc>
        <w:tc>
          <w:tcPr>
            <w:tcW w:w="1728" w:type="dxa"/>
          </w:tcPr>
          <w:p w14:paraId="1BE40005">
            <w:pPr>
              <w:spacing w:after="0" w:line="240" w:lineRule="auto"/>
            </w:pPr>
            <w:r>
              <w:t>持续性基线更优</w:t>
            </w:r>
          </w:p>
        </w:tc>
      </w:tr>
      <w:tr w14:paraId="014782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A23784E">
            <w:pPr>
              <w:spacing w:after="0" w:line="240" w:lineRule="auto"/>
            </w:pPr>
            <w:r>
              <w:t>心血管</w:t>
            </w:r>
          </w:p>
        </w:tc>
        <w:tc>
          <w:tcPr>
            <w:tcW w:w="1728" w:type="dxa"/>
          </w:tcPr>
          <w:p w14:paraId="43238E57">
            <w:pPr>
              <w:spacing w:after="0" w:line="240" w:lineRule="auto"/>
            </w:pPr>
            <w:r>
              <w:t>0.078</w:t>
            </w:r>
          </w:p>
        </w:tc>
        <w:tc>
          <w:tcPr>
            <w:tcW w:w="1728" w:type="dxa"/>
          </w:tcPr>
          <w:p w14:paraId="5C5AACDC">
            <w:pPr>
              <w:spacing w:after="0" w:line="240" w:lineRule="auto"/>
            </w:pPr>
            <w:r>
              <w:t>0.118</w:t>
            </w:r>
          </w:p>
        </w:tc>
        <w:tc>
          <w:tcPr>
            <w:tcW w:w="1728" w:type="dxa"/>
          </w:tcPr>
          <w:p w14:paraId="5BF95BFA">
            <w:pPr>
              <w:spacing w:after="0" w:line="240" w:lineRule="auto"/>
            </w:pPr>
            <w:r>
              <w:t>0.117</w:t>
            </w:r>
          </w:p>
        </w:tc>
        <w:tc>
          <w:tcPr>
            <w:tcW w:w="1728" w:type="dxa"/>
          </w:tcPr>
          <w:p w14:paraId="4E1B7AA4">
            <w:pPr>
              <w:spacing w:after="0" w:line="240" w:lineRule="auto"/>
            </w:pPr>
            <w:r>
              <w:t>持续性基线明显更优</w:t>
            </w:r>
          </w:p>
        </w:tc>
      </w:tr>
      <w:tr w14:paraId="70E458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BC056DB">
            <w:pPr>
              <w:spacing w:after="0" w:line="240" w:lineRule="auto"/>
            </w:pPr>
            <w:r>
              <w:t>神经系统</w:t>
            </w:r>
          </w:p>
        </w:tc>
        <w:tc>
          <w:tcPr>
            <w:tcW w:w="1728" w:type="dxa"/>
          </w:tcPr>
          <w:p w14:paraId="793E9466">
            <w:pPr>
              <w:spacing w:after="0" w:line="240" w:lineRule="auto"/>
            </w:pPr>
            <w:r>
              <w:t>0.308</w:t>
            </w:r>
          </w:p>
        </w:tc>
        <w:tc>
          <w:tcPr>
            <w:tcW w:w="1728" w:type="dxa"/>
          </w:tcPr>
          <w:p w14:paraId="2BE1F3E3">
            <w:pPr>
              <w:spacing w:after="0" w:line="240" w:lineRule="auto"/>
            </w:pPr>
            <w:r>
              <w:t>0.230</w:t>
            </w:r>
          </w:p>
        </w:tc>
        <w:tc>
          <w:tcPr>
            <w:tcW w:w="1728" w:type="dxa"/>
          </w:tcPr>
          <w:p w14:paraId="74C2B12D">
            <w:pPr>
              <w:spacing w:after="0" w:line="240" w:lineRule="auto"/>
            </w:pPr>
            <w:r>
              <w:t>0.248</w:t>
            </w:r>
          </w:p>
        </w:tc>
        <w:tc>
          <w:tcPr>
            <w:tcW w:w="1728" w:type="dxa"/>
          </w:tcPr>
          <w:p w14:paraId="479081A1">
            <w:pPr>
              <w:spacing w:after="0" w:line="240" w:lineRule="auto"/>
            </w:pPr>
            <w:r>
              <w:t>模型明显更优</w:t>
            </w:r>
          </w:p>
        </w:tc>
      </w:tr>
      <w:tr w14:paraId="00A997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9D44A75">
            <w:pPr>
              <w:spacing w:after="0" w:line="240" w:lineRule="auto"/>
            </w:pPr>
            <w:r>
              <w:t>肾脏</w:t>
            </w:r>
          </w:p>
        </w:tc>
        <w:tc>
          <w:tcPr>
            <w:tcW w:w="1728" w:type="dxa"/>
          </w:tcPr>
          <w:p w14:paraId="229E55F7">
            <w:pPr>
              <w:spacing w:after="0" w:line="240" w:lineRule="auto"/>
            </w:pPr>
            <w:r>
              <w:t>0.094</w:t>
            </w:r>
          </w:p>
        </w:tc>
        <w:tc>
          <w:tcPr>
            <w:tcW w:w="1728" w:type="dxa"/>
          </w:tcPr>
          <w:p w14:paraId="60870FF4">
            <w:pPr>
              <w:spacing w:after="0" w:line="240" w:lineRule="auto"/>
            </w:pPr>
            <w:r>
              <w:t>0.106</w:t>
            </w:r>
          </w:p>
        </w:tc>
        <w:tc>
          <w:tcPr>
            <w:tcW w:w="1728" w:type="dxa"/>
          </w:tcPr>
          <w:p w14:paraId="429BCDD3">
            <w:pPr>
              <w:spacing w:after="0" w:line="240" w:lineRule="auto"/>
            </w:pPr>
            <w:r>
              <w:t>0.112</w:t>
            </w:r>
          </w:p>
        </w:tc>
        <w:tc>
          <w:tcPr>
            <w:tcW w:w="1728" w:type="dxa"/>
          </w:tcPr>
          <w:p w14:paraId="6FE5FEF3">
            <w:pPr>
              <w:spacing w:after="0" w:line="240" w:lineRule="auto"/>
            </w:pPr>
            <w:r>
              <w:t>持续性基线更优</w:t>
            </w:r>
          </w:p>
        </w:tc>
      </w:tr>
    </w:tbl>
    <w:p w14:paraId="0737E4CB">
      <w:r>
        <w:rPr>
          <w:b w:val="0"/>
          <w:i/>
          <w:sz w:val="18"/>
        </w:rPr>
        <w:t>表6. 测试集上四个时间点的平均MAE，按轴划分。神经系统是唯一一个训练模型能优于持续性基线的轴。</w:t>
      </w:r>
    </w:p>
    <w:p w14:paraId="05851869">
      <w:r>
        <w:rPr>
          <w:b w:val="0"/>
          <w:i w:val="0"/>
        </w:rPr>
        <w:t>这意味着第3.2节报告的总SOFA改善绝大部分来自神经系统轴，而非如某个早期、不够精确的解读所认为的那样分布在三个轴上（第4.4节讨论具体原因）。</w:t>
      </w:r>
    </w:p>
    <w:p w14:paraId="713358FF">
      <w:pPr>
        <w:pStyle w:val="3"/>
      </w:pPr>
      <w:r>
        <w:t>3.4 恶化分类器性能</w:t>
      </w:r>
    </w:p>
    <w:p w14:paraId="102B9F46">
      <w:r>
        <w:rPr>
          <w:b w:val="0"/>
          <w:i w:val="0"/>
        </w:rPr>
        <w:t>表7报告了恶化分类器在测试集上的判别能力。序数模型族没有对应的恶化分类器变体（第2.7节）。每个分类器在AUROC上、以及考虑到该结局的稀有性而更重要的AUPRC上，均明显优于无技能参考基准（表4b）。</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622B0E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98F2E9A">
            <w:pPr>
              <w:spacing w:after="0" w:line="240" w:lineRule="auto"/>
            </w:pPr>
            <w:r>
              <w:rPr>
                <w:b/>
              </w:rPr>
              <w:t>模型族</w:t>
            </w:r>
          </w:p>
        </w:tc>
        <w:tc>
          <w:tcPr>
            <w:tcW w:w="2160" w:type="dxa"/>
          </w:tcPr>
          <w:p w14:paraId="43EF25BF">
            <w:pPr>
              <w:spacing w:after="0" w:line="240" w:lineRule="auto"/>
            </w:pPr>
            <w:r>
              <w:rPr>
                <w:b/>
              </w:rPr>
              <w:t>AUROC（95%置信区间）</w:t>
            </w:r>
          </w:p>
        </w:tc>
        <w:tc>
          <w:tcPr>
            <w:tcW w:w="2160" w:type="dxa"/>
          </w:tcPr>
          <w:p w14:paraId="36F51975">
            <w:pPr>
              <w:spacing w:after="0" w:line="240" w:lineRule="auto"/>
            </w:pPr>
            <w:r>
              <w:rPr>
                <w:b/>
              </w:rPr>
              <w:t>AUPRC（95%置信区间）</w:t>
            </w:r>
          </w:p>
        </w:tc>
        <w:tc>
          <w:tcPr>
            <w:tcW w:w="2160" w:type="dxa"/>
          </w:tcPr>
          <w:p w14:paraId="3B7A3580">
            <w:pPr>
              <w:spacing w:after="0" w:line="240" w:lineRule="auto"/>
            </w:pPr>
            <w:r>
              <w:rPr>
                <w:b/>
              </w:rPr>
              <w:t>Brier</w:t>
            </w:r>
          </w:p>
        </w:tc>
      </w:tr>
      <w:tr w14:paraId="73E9FC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E0011B9">
            <w:pPr>
              <w:spacing w:after="0" w:line="240" w:lineRule="auto"/>
            </w:pPr>
            <w:r>
              <w:t>HistGB</w:t>
            </w:r>
          </w:p>
        </w:tc>
        <w:tc>
          <w:tcPr>
            <w:tcW w:w="2160" w:type="dxa"/>
          </w:tcPr>
          <w:p w14:paraId="3D28E911">
            <w:pPr>
              <w:spacing w:after="0" w:line="240" w:lineRule="auto"/>
            </w:pPr>
            <w:r>
              <w:t>0.838 (0.816, 0.858)</w:t>
            </w:r>
          </w:p>
        </w:tc>
        <w:tc>
          <w:tcPr>
            <w:tcW w:w="2160" w:type="dxa"/>
          </w:tcPr>
          <w:p w14:paraId="57B4131B">
            <w:pPr>
              <w:spacing w:after="0" w:line="240" w:lineRule="auto"/>
            </w:pPr>
            <w:r>
              <w:t>0.308 (0.260, 0.361)</w:t>
            </w:r>
          </w:p>
        </w:tc>
        <w:tc>
          <w:tcPr>
            <w:tcW w:w="2160" w:type="dxa"/>
          </w:tcPr>
          <w:p w14:paraId="64385B21">
            <w:pPr>
              <w:spacing w:after="0" w:line="240" w:lineRule="auto"/>
            </w:pPr>
            <w:r>
              <w:t>0.118</w:t>
            </w:r>
          </w:p>
        </w:tc>
      </w:tr>
      <w:tr w14:paraId="2B36D4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1920322">
            <w:pPr>
              <w:spacing w:after="0" w:line="240" w:lineRule="auto"/>
            </w:pPr>
            <w:r>
              <w:t>CatBoost</w:t>
            </w:r>
          </w:p>
        </w:tc>
        <w:tc>
          <w:tcPr>
            <w:tcW w:w="2160" w:type="dxa"/>
          </w:tcPr>
          <w:p w14:paraId="3778CCA2">
            <w:pPr>
              <w:spacing w:after="0" w:line="240" w:lineRule="auto"/>
            </w:pPr>
            <w:r>
              <w:t>0.837 (0.816, 0.856)</w:t>
            </w:r>
          </w:p>
        </w:tc>
        <w:tc>
          <w:tcPr>
            <w:tcW w:w="2160" w:type="dxa"/>
          </w:tcPr>
          <w:p w14:paraId="7870C4DF">
            <w:pPr>
              <w:spacing w:after="0" w:line="240" w:lineRule="auto"/>
            </w:pPr>
            <w:r>
              <w:t>0.280 (0.232, 0.332)</w:t>
            </w:r>
          </w:p>
        </w:tc>
        <w:tc>
          <w:tcPr>
            <w:tcW w:w="2160" w:type="dxa"/>
          </w:tcPr>
          <w:p w14:paraId="78B45A86">
            <w:pPr>
              <w:spacing w:after="0" w:line="240" w:lineRule="auto"/>
            </w:pPr>
            <w:r>
              <w:t>0.154</w:t>
            </w:r>
          </w:p>
        </w:tc>
      </w:tr>
      <w:tr w14:paraId="540905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742091C">
            <w:pPr>
              <w:spacing w:after="0" w:line="240" w:lineRule="auto"/>
            </w:pPr>
            <w:r>
              <w:t>LightGBM</w:t>
            </w:r>
          </w:p>
        </w:tc>
        <w:tc>
          <w:tcPr>
            <w:tcW w:w="2160" w:type="dxa"/>
          </w:tcPr>
          <w:p w14:paraId="2530A026">
            <w:pPr>
              <w:spacing w:after="0" w:line="240" w:lineRule="auto"/>
            </w:pPr>
            <w:r>
              <w:t>0.820 (0.796, 0.843)</w:t>
            </w:r>
          </w:p>
        </w:tc>
        <w:tc>
          <w:tcPr>
            <w:tcW w:w="2160" w:type="dxa"/>
          </w:tcPr>
          <w:p w14:paraId="4FACA6CF">
            <w:pPr>
              <w:spacing w:after="0" w:line="240" w:lineRule="auto"/>
            </w:pPr>
            <w:r>
              <w:t>0.297 (0.248, 0.346)</w:t>
            </w:r>
          </w:p>
        </w:tc>
        <w:tc>
          <w:tcPr>
            <w:tcW w:w="2160" w:type="dxa"/>
          </w:tcPr>
          <w:p w14:paraId="59922F48">
            <w:pPr>
              <w:spacing w:after="0" w:line="240" w:lineRule="auto"/>
            </w:pPr>
            <w:r>
              <w:t>0.041</w:t>
            </w:r>
          </w:p>
        </w:tc>
      </w:tr>
      <w:tr w14:paraId="0C216B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5053FB8">
            <w:pPr>
              <w:spacing w:after="0" w:line="240" w:lineRule="auto"/>
            </w:pPr>
            <w:r>
              <w:t>线性模型</w:t>
            </w:r>
          </w:p>
        </w:tc>
        <w:tc>
          <w:tcPr>
            <w:tcW w:w="2160" w:type="dxa"/>
          </w:tcPr>
          <w:p w14:paraId="2C7E7199">
            <w:pPr>
              <w:spacing w:after="0" w:line="240" w:lineRule="auto"/>
            </w:pPr>
            <w:r>
              <w:t>0.780 (0.752, 0.807)</w:t>
            </w:r>
          </w:p>
        </w:tc>
        <w:tc>
          <w:tcPr>
            <w:tcW w:w="2160" w:type="dxa"/>
          </w:tcPr>
          <w:p w14:paraId="7285C65B">
            <w:pPr>
              <w:spacing w:after="0" w:line="240" w:lineRule="auto"/>
            </w:pPr>
            <w:r>
              <w:t>0.175 (0.145, 0.213)</w:t>
            </w:r>
          </w:p>
        </w:tc>
        <w:tc>
          <w:tcPr>
            <w:tcW w:w="2160" w:type="dxa"/>
          </w:tcPr>
          <w:p w14:paraId="7F5F5FEF">
            <w:pPr>
              <w:spacing w:after="0" w:line="240" w:lineRule="auto"/>
            </w:pPr>
            <w:r>
              <w:t>0.180</w:t>
            </w:r>
          </w:p>
        </w:tc>
      </w:tr>
      <w:tr w14:paraId="12A395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56DBE39">
            <w:pPr>
              <w:spacing w:after="0" w:line="240" w:lineRule="auto"/>
            </w:pPr>
            <w:r>
              <w:t>无技能基准</w:t>
            </w:r>
          </w:p>
        </w:tc>
        <w:tc>
          <w:tcPr>
            <w:tcW w:w="2160" w:type="dxa"/>
          </w:tcPr>
          <w:p w14:paraId="188C4F08">
            <w:pPr>
              <w:spacing w:after="0" w:line="240" w:lineRule="auto"/>
            </w:pPr>
            <w:r>
              <w:t>0.500</w:t>
            </w:r>
          </w:p>
        </w:tc>
        <w:tc>
          <w:tcPr>
            <w:tcW w:w="2160" w:type="dxa"/>
          </w:tcPr>
          <w:p w14:paraId="467CB950">
            <w:pPr>
              <w:spacing w:after="0" w:line="240" w:lineRule="auto"/>
            </w:pPr>
            <w:r>
              <w:t>0.045</w:t>
            </w:r>
          </w:p>
        </w:tc>
        <w:tc>
          <w:tcPr>
            <w:tcW w:w="2160" w:type="dxa"/>
          </w:tcPr>
          <w:p w14:paraId="78E5EA84">
            <w:pPr>
              <w:spacing w:after="0" w:line="240" w:lineRule="auto"/>
            </w:pPr>
            <w:r>
              <w:t>0.043</w:t>
            </w:r>
          </w:p>
        </w:tc>
      </w:tr>
    </w:tbl>
    <w:p w14:paraId="6251A22B">
      <w:r>
        <w:rPr>
          <w:b w:val="0"/>
          <w:i/>
          <w:sz w:val="18"/>
        </w:rPr>
        <w:t>表7. 恶化分类器性能，测试集（n = 7,187）。</w:t>
      </w:r>
    </w:p>
    <w:p w14:paraId="2C936136">
      <w:pPr>
        <w:pStyle w:val="3"/>
      </w:pPr>
      <w:r>
        <w:t>3.5 校准情况</w:t>
      </w:r>
    </w:p>
    <w:p w14:paraId="2294168A">
      <w:r>
        <w:rPr>
          <w:b w:val="0"/>
          <w:i w:val="0"/>
        </w:rPr>
        <w:t>判别能力（表7）与校准度回答的是不同的问题。HistGB在测试集上的十分位可靠性表显示出高风险端存在系统性的过度自信：最高十分位的平均预测概率为0.696，而该分位实际观察到的事件发生率仅为0.220——该模型正确识别出了哪些患者风险相对最高（这支持了其较强的AUROC/AUPRC），但其原始概率输出大幅高估了绝对风险，在未经重新校准（例如Platt缩放或等渗回归）之前不应作为字面上的百分比来引用。</w:t>
      </w:r>
    </w:p>
    <w:p w14:paraId="6F64F900">
      <w:pPr>
        <w:pStyle w:val="3"/>
      </w:pPr>
      <w:r>
        <w:t>3.6 亚组分析</w:t>
      </w:r>
    </w:p>
    <w:p w14:paraId="5F67975F">
      <w:r>
        <w:rPr>
          <w:b w:val="0"/>
          <w:i w:val="0"/>
        </w:rPr>
        <w:t>按血流动力学不稳定状态（输入窗口内最低平均动脉压 &lt; 65 mmHg）划分，总SOFAMAE（HistGB，验证集）没有实质性差异：0.592（n=2,590，稳定组）对0.592（n=4,483，不稳定组）——也就是说，在心血管轴数据限制（第1.2节）本应影响最大的亚组中，模型的预测准确度并未下降。</w:t>
      </w:r>
    </w:p>
    <w:p w14:paraId="3FC41D04">
      <w:pPr>
        <w:pStyle w:val="3"/>
      </w:pPr>
      <w:r>
        <w:t>3.7 绝对值与增量值消融实验：解决建模形式混杂问题</w:t>
      </w:r>
    </w:p>
    <w:p w14:paraId="22083587">
      <w:r>
        <w:rPr>
          <w:b w:val="0"/>
          <w:i w:val="0"/>
        </w:rPr>
        <w:t>表8报告了第2.10节所述的消融实验结果。结论毫不含糊：histgb+绝对值 在全部四个时间点上均劣于 histgb+增量值——直接预测绝对评分并不能解释序数模型的优势；恰恰相反，对于一个普通回归器而言，绝对值反而是更难预测的目标。序数+绝对值 在每个时间点上依然是三者中最好的，尽管它与 histgb+绝对值 采用了相同的绝对值目标表示方式。</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760C1C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F7EDF1F">
            <w:pPr>
              <w:spacing w:after="0" w:line="240" w:lineRule="auto"/>
            </w:pPr>
            <w:r>
              <w:rPr>
                <w:b/>
              </w:rPr>
              <w:t>时间点</w:t>
            </w:r>
          </w:p>
        </w:tc>
        <w:tc>
          <w:tcPr>
            <w:tcW w:w="1728" w:type="dxa"/>
          </w:tcPr>
          <w:p w14:paraId="2A334242">
            <w:pPr>
              <w:spacing w:after="0" w:line="240" w:lineRule="auto"/>
            </w:pPr>
            <w:r>
              <w:rPr>
                <w:b/>
              </w:rPr>
              <w:t>持续性基线</w:t>
            </w:r>
          </w:p>
        </w:tc>
        <w:tc>
          <w:tcPr>
            <w:tcW w:w="1728" w:type="dxa"/>
          </w:tcPr>
          <w:p w14:paraId="32BE396E">
            <w:pPr>
              <w:spacing w:after="0" w:line="240" w:lineRule="auto"/>
            </w:pPr>
            <w:r>
              <w:rPr>
                <w:b/>
              </w:rPr>
              <w:t>HistGB + 增量值</w:t>
            </w:r>
          </w:p>
        </w:tc>
        <w:tc>
          <w:tcPr>
            <w:tcW w:w="1728" w:type="dxa"/>
          </w:tcPr>
          <w:p w14:paraId="48AD0445">
            <w:pPr>
              <w:spacing w:after="0" w:line="240" w:lineRule="auto"/>
            </w:pPr>
            <w:r>
              <w:rPr>
                <w:b/>
              </w:rPr>
              <w:t>HistGB + 绝对值</w:t>
            </w:r>
          </w:p>
        </w:tc>
        <w:tc>
          <w:tcPr>
            <w:tcW w:w="1728" w:type="dxa"/>
          </w:tcPr>
          <w:p w14:paraId="079E375C">
            <w:pPr>
              <w:spacing w:after="0" w:line="240" w:lineRule="auto"/>
            </w:pPr>
            <w:r>
              <w:rPr>
                <w:b/>
              </w:rPr>
              <w:t>序数模型 + 绝对值</w:t>
            </w:r>
          </w:p>
        </w:tc>
      </w:tr>
      <w:tr w14:paraId="6AFE04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45C0B10">
            <w:pPr>
              <w:spacing w:after="0" w:line="240" w:lineRule="auto"/>
            </w:pPr>
            <w:r>
              <w:t>T = 24 小时</w:t>
            </w:r>
          </w:p>
        </w:tc>
        <w:tc>
          <w:tcPr>
            <w:tcW w:w="1728" w:type="dxa"/>
          </w:tcPr>
          <w:p w14:paraId="2DDD346E">
            <w:pPr>
              <w:spacing w:after="0" w:line="240" w:lineRule="auto"/>
            </w:pPr>
            <w:r>
              <w:t>0.957</w:t>
            </w:r>
          </w:p>
        </w:tc>
        <w:tc>
          <w:tcPr>
            <w:tcW w:w="1728" w:type="dxa"/>
          </w:tcPr>
          <w:p w14:paraId="6D3FF295">
            <w:pPr>
              <w:spacing w:after="0" w:line="240" w:lineRule="auto"/>
            </w:pPr>
            <w:r>
              <w:t>0.651</w:t>
            </w:r>
          </w:p>
        </w:tc>
        <w:tc>
          <w:tcPr>
            <w:tcW w:w="1728" w:type="dxa"/>
          </w:tcPr>
          <w:p w14:paraId="76D2A71C">
            <w:pPr>
              <w:spacing w:after="0" w:line="240" w:lineRule="auto"/>
            </w:pPr>
            <w:r>
              <w:t>0.659</w:t>
            </w:r>
          </w:p>
        </w:tc>
        <w:tc>
          <w:tcPr>
            <w:tcW w:w="1728" w:type="dxa"/>
          </w:tcPr>
          <w:p w14:paraId="79AB6E98">
            <w:pPr>
              <w:spacing w:after="0" w:line="240" w:lineRule="auto"/>
            </w:pPr>
            <w:r>
              <w:t>0.629</w:t>
            </w:r>
          </w:p>
        </w:tc>
      </w:tr>
      <w:tr w14:paraId="53A70D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43BF5DF">
            <w:pPr>
              <w:spacing w:after="0" w:line="240" w:lineRule="auto"/>
            </w:pPr>
            <w:r>
              <w:t>T = 30 小时</w:t>
            </w:r>
          </w:p>
        </w:tc>
        <w:tc>
          <w:tcPr>
            <w:tcW w:w="1728" w:type="dxa"/>
          </w:tcPr>
          <w:p w14:paraId="6FC28328">
            <w:pPr>
              <w:spacing w:after="0" w:line="240" w:lineRule="auto"/>
            </w:pPr>
            <w:r>
              <w:t>0.706</w:t>
            </w:r>
          </w:p>
        </w:tc>
        <w:tc>
          <w:tcPr>
            <w:tcW w:w="1728" w:type="dxa"/>
          </w:tcPr>
          <w:p w14:paraId="7D5893E2">
            <w:pPr>
              <w:spacing w:after="0" w:line="240" w:lineRule="auto"/>
            </w:pPr>
            <w:r>
              <w:t>0.619</w:t>
            </w:r>
          </w:p>
        </w:tc>
        <w:tc>
          <w:tcPr>
            <w:tcW w:w="1728" w:type="dxa"/>
          </w:tcPr>
          <w:p w14:paraId="1FA9E6F5">
            <w:pPr>
              <w:spacing w:after="0" w:line="240" w:lineRule="auto"/>
            </w:pPr>
            <w:r>
              <w:t>0.625</w:t>
            </w:r>
          </w:p>
        </w:tc>
        <w:tc>
          <w:tcPr>
            <w:tcW w:w="1728" w:type="dxa"/>
          </w:tcPr>
          <w:p w14:paraId="181EC434">
            <w:pPr>
              <w:spacing w:after="0" w:line="240" w:lineRule="auto"/>
            </w:pPr>
            <w:r>
              <w:t>0.601</w:t>
            </w:r>
          </w:p>
        </w:tc>
      </w:tr>
      <w:tr w14:paraId="4EC814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FE5B8E5">
            <w:pPr>
              <w:spacing w:after="0" w:line="240" w:lineRule="auto"/>
            </w:pPr>
            <w:r>
              <w:t>T = 36 小时</w:t>
            </w:r>
          </w:p>
        </w:tc>
        <w:tc>
          <w:tcPr>
            <w:tcW w:w="1728" w:type="dxa"/>
          </w:tcPr>
          <w:p w14:paraId="742F0175">
            <w:pPr>
              <w:spacing w:after="0" w:line="240" w:lineRule="auto"/>
            </w:pPr>
            <w:r>
              <w:t>0.645</w:t>
            </w:r>
          </w:p>
        </w:tc>
        <w:tc>
          <w:tcPr>
            <w:tcW w:w="1728" w:type="dxa"/>
          </w:tcPr>
          <w:p w14:paraId="7FB5654D">
            <w:pPr>
              <w:spacing w:after="0" w:line="240" w:lineRule="auto"/>
            </w:pPr>
            <w:r>
              <w:t>0.610</w:t>
            </w:r>
          </w:p>
        </w:tc>
        <w:tc>
          <w:tcPr>
            <w:tcW w:w="1728" w:type="dxa"/>
          </w:tcPr>
          <w:p w14:paraId="35E0AE81">
            <w:pPr>
              <w:spacing w:after="0" w:line="240" w:lineRule="auto"/>
            </w:pPr>
            <w:r>
              <w:t>0.625</w:t>
            </w:r>
          </w:p>
        </w:tc>
        <w:tc>
          <w:tcPr>
            <w:tcW w:w="1728" w:type="dxa"/>
          </w:tcPr>
          <w:p w14:paraId="7AA644DE">
            <w:pPr>
              <w:spacing w:after="0" w:line="240" w:lineRule="auto"/>
            </w:pPr>
            <w:r>
              <w:t>0.597</w:t>
            </w:r>
          </w:p>
        </w:tc>
      </w:tr>
      <w:tr w14:paraId="2FD947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624F63C">
            <w:pPr>
              <w:spacing w:after="0" w:line="240" w:lineRule="auto"/>
            </w:pPr>
            <w:r>
              <w:t>T = 42 小时</w:t>
            </w:r>
          </w:p>
        </w:tc>
        <w:tc>
          <w:tcPr>
            <w:tcW w:w="1728" w:type="dxa"/>
          </w:tcPr>
          <w:p w14:paraId="790E843C">
            <w:pPr>
              <w:spacing w:after="0" w:line="240" w:lineRule="auto"/>
            </w:pPr>
            <w:r>
              <w:t>0.594</w:t>
            </w:r>
          </w:p>
        </w:tc>
        <w:tc>
          <w:tcPr>
            <w:tcW w:w="1728" w:type="dxa"/>
          </w:tcPr>
          <w:p w14:paraId="4FFAB569">
            <w:pPr>
              <w:spacing w:after="0" w:line="240" w:lineRule="auto"/>
            </w:pPr>
            <w:r>
              <w:t>0.553</w:t>
            </w:r>
          </w:p>
        </w:tc>
        <w:tc>
          <w:tcPr>
            <w:tcW w:w="1728" w:type="dxa"/>
          </w:tcPr>
          <w:p w14:paraId="6C0FCE32">
            <w:pPr>
              <w:spacing w:after="0" w:line="240" w:lineRule="auto"/>
            </w:pPr>
            <w:r>
              <w:t>0.562</w:t>
            </w:r>
          </w:p>
        </w:tc>
        <w:tc>
          <w:tcPr>
            <w:tcW w:w="1728" w:type="dxa"/>
          </w:tcPr>
          <w:p w14:paraId="1569046D">
            <w:pPr>
              <w:spacing w:after="0" w:line="240" w:lineRule="auto"/>
            </w:pPr>
            <w:r>
              <w:t>0.536</w:t>
            </w:r>
          </w:p>
        </w:tc>
      </w:tr>
    </w:tbl>
    <w:p w14:paraId="19955872">
      <w:r>
        <w:rPr>
          <w:b w:val="0"/>
          <w:i/>
          <w:sz w:val="18"/>
        </w:rPr>
        <w:t>表8. 总SOFA MAE，测试集。HistGB+绝对值 使用与 HistGB+增量值（表5）完全相同的基础学习器与网格，仅目标表示方式不同。</w:t>
      </w:r>
    </w:p>
    <w:p w14:paraId="518C4D59">
      <w:r>
        <w:rPr>
          <w:b w:val="0"/>
          <w:i w:val="0"/>
        </w:rPr>
        <w:t>这一模式在全部六个器官轴上均无一例外地成立（表9，在表6基础上扩展）：histgb+绝对值 在呼吸、凝血、肝脏、心血管、神经系统与肾脏轴上，均是三个训练序列中表现最差的一个。</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32D31A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7A3B7D7">
            <w:pPr>
              <w:spacing w:after="0" w:line="240" w:lineRule="auto"/>
            </w:pPr>
            <w:r>
              <w:rPr>
                <w:b/>
              </w:rPr>
              <w:t>轴</w:t>
            </w:r>
          </w:p>
        </w:tc>
        <w:tc>
          <w:tcPr>
            <w:tcW w:w="1728" w:type="dxa"/>
          </w:tcPr>
          <w:p w14:paraId="03C3EDCE">
            <w:pPr>
              <w:spacing w:after="0" w:line="240" w:lineRule="auto"/>
            </w:pPr>
            <w:r>
              <w:rPr>
                <w:b/>
              </w:rPr>
              <w:t>持续性基线</w:t>
            </w:r>
          </w:p>
        </w:tc>
        <w:tc>
          <w:tcPr>
            <w:tcW w:w="1728" w:type="dxa"/>
          </w:tcPr>
          <w:p w14:paraId="5A7C737A">
            <w:pPr>
              <w:spacing w:after="0" w:line="240" w:lineRule="auto"/>
            </w:pPr>
            <w:r>
              <w:rPr>
                <w:b/>
              </w:rPr>
              <w:t>序数模型 + 绝对值</w:t>
            </w:r>
          </w:p>
        </w:tc>
        <w:tc>
          <w:tcPr>
            <w:tcW w:w="1728" w:type="dxa"/>
          </w:tcPr>
          <w:p w14:paraId="17852544">
            <w:pPr>
              <w:spacing w:after="0" w:line="240" w:lineRule="auto"/>
            </w:pPr>
            <w:r>
              <w:rPr>
                <w:b/>
              </w:rPr>
              <w:t>HistGB + 增量值</w:t>
            </w:r>
          </w:p>
        </w:tc>
        <w:tc>
          <w:tcPr>
            <w:tcW w:w="1728" w:type="dxa"/>
          </w:tcPr>
          <w:p w14:paraId="3D242FD4">
            <w:pPr>
              <w:spacing w:after="0" w:line="240" w:lineRule="auto"/>
            </w:pPr>
            <w:r>
              <w:rPr>
                <w:b/>
              </w:rPr>
              <w:t>HistGB + 绝对值</w:t>
            </w:r>
          </w:p>
        </w:tc>
      </w:tr>
      <w:tr w14:paraId="519234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E37AF38">
            <w:pPr>
              <w:spacing w:after="0" w:line="240" w:lineRule="auto"/>
            </w:pPr>
            <w:r>
              <w:t>呼吸</w:t>
            </w:r>
          </w:p>
        </w:tc>
        <w:tc>
          <w:tcPr>
            <w:tcW w:w="1728" w:type="dxa"/>
          </w:tcPr>
          <w:p w14:paraId="5B84BFDF">
            <w:pPr>
              <w:spacing w:after="0" w:line="240" w:lineRule="auto"/>
            </w:pPr>
            <w:r>
              <w:t>0.305</w:t>
            </w:r>
          </w:p>
        </w:tc>
        <w:tc>
          <w:tcPr>
            <w:tcW w:w="1728" w:type="dxa"/>
          </w:tcPr>
          <w:p w14:paraId="2E386187">
            <w:pPr>
              <w:spacing w:after="0" w:line="240" w:lineRule="auto"/>
            </w:pPr>
            <w:r>
              <w:t>0.335</w:t>
            </w:r>
          </w:p>
        </w:tc>
        <w:tc>
          <w:tcPr>
            <w:tcW w:w="1728" w:type="dxa"/>
          </w:tcPr>
          <w:p w14:paraId="00F23388">
            <w:pPr>
              <w:spacing w:after="0" w:line="240" w:lineRule="auto"/>
            </w:pPr>
            <w:r>
              <w:t>0.340</w:t>
            </w:r>
          </w:p>
        </w:tc>
        <w:tc>
          <w:tcPr>
            <w:tcW w:w="1728" w:type="dxa"/>
          </w:tcPr>
          <w:p w14:paraId="5362A3E0">
            <w:pPr>
              <w:spacing w:after="0" w:line="240" w:lineRule="auto"/>
            </w:pPr>
            <w:r>
              <w:t>0.356</w:t>
            </w:r>
          </w:p>
        </w:tc>
      </w:tr>
      <w:tr w14:paraId="62FD31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6E4DF97">
            <w:pPr>
              <w:spacing w:after="0" w:line="240" w:lineRule="auto"/>
            </w:pPr>
            <w:r>
              <w:t>凝血</w:t>
            </w:r>
          </w:p>
        </w:tc>
        <w:tc>
          <w:tcPr>
            <w:tcW w:w="1728" w:type="dxa"/>
          </w:tcPr>
          <w:p w14:paraId="3DACBBF1">
            <w:pPr>
              <w:spacing w:after="0" w:line="240" w:lineRule="auto"/>
            </w:pPr>
            <w:r>
              <w:t>0.082</w:t>
            </w:r>
          </w:p>
        </w:tc>
        <w:tc>
          <w:tcPr>
            <w:tcW w:w="1728" w:type="dxa"/>
          </w:tcPr>
          <w:p w14:paraId="1CBA69FB">
            <w:pPr>
              <w:spacing w:after="0" w:line="240" w:lineRule="auto"/>
            </w:pPr>
            <w:r>
              <w:t>0.087</w:t>
            </w:r>
          </w:p>
        </w:tc>
        <w:tc>
          <w:tcPr>
            <w:tcW w:w="1728" w:type="dxa"/>
          </w:tcPr>
          <w:p w14:paraId="18B63034">
            <w:pPr>
              <w:spacing w:after="0" w:line="240" w:lineRule="auto"/>
            </w:pPr>
            <w:r>
              <w:t>0.096</w:t>
            </w:r>
          </w:p>
        </w:tc>
        <w:tc>
          <w:tcPr>
            <w:tcW w:w="1728" w:type="dxa"/>
          </w:tcPr>
          <w:p w14:paraId="29730B57">
            <w:pPr>
              <w:spacing w:after="0" w:line="240" w:lineRule="auto"/>
            </w:pPr>
            <w:r>
              <w:t>0.100</w:t>
            </w:r>
          </w:p>
        </w:tc>
      </w:tr>
      <w:tr w14:paraId="465174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8A9A31B">
            <w:pPr>
              <w:spacing w:after="0" w:line="240" w:lineRule="auto"/>
            </w:pPr>
            <w:r>
              <w:t>肝脏</w:t>
            </w:r>
          </w:p>
        </w:tc>
        <w:tc>
          <w:tcPr>
            <w:tcW w:w="1728" w:type="dxa"/>
          </w:tcPr>
          <w:p w14:paraId="1764F276">
            <w:pPr>
              <w:spacing w:after="0" w:line="240" w:lineRule="auto"/>
            </w:pPr>
            <w:r>
              <w:t>0.040</w:t>
            </w:r>
          </w:p>
        </w:tc>
        <w:tc>
          <w:tcPr>
            <w:tcW w:w="1728" w:type="dxa"/>
          </w:tcPr>
          <w:p w14:paraId="4137A13B">
            <w:pPr>
              <w:spacing w:after="0" w:line="240" w:lineRule="auto"/>
            </w:pPr>
            <w:r>
              <w:t>0.047</w:t>
            </w:r>
          </w:p>
        </w:tc>
        <w:tc>
          <w:tcPr>
            <w:tcW w:w="1728" w:type="dxa"/>
          </w:tcPr>
          <w:p w14:paraId="5D84955E">
            <w:pPr>
              <w:spacing w:after="0" w:line="240" w:lineRule="auto"/>
            </w:pPr>
            <w:r>
              <w:t>0.052</w:t>
            </w:r>
          </w:p>
        </w:tc>
        <w:tc>
          <w:tcPr>
            <w:tcW w:w="1728" w:type="dxa"/>
          </w:tcPr>
          <w:p w14:paraId="545DA316">
            <w:pPr>
              <w:spacing w:after="0" w:line="240" w:lineRule="auto"/>
            </w:pPr>
            <w:r>
              <w:t>0.061</w:t>
            </w:r>
          </w:p>
        </w:tc>
      </w:tr>
      <w:tr w14:paraId="05BA2F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1E4876D">
            <w:pPr>
              <w:spacing w:after="0" w:line="240" w:lineRule="auto"/>
            </w:pPr>
            <w:r>
              <w:t>心血管</w:t>
            </w:r>
          </w:p>
        </w:tc>
        <w:tc>
          <w:tcPr>
            <w:tcW w:w="1728" w:type="dxa"/>
          </w:tcPr>
          <w:p w14:paraId="5FE6C34B">
            <w:pPr>
              <w:spacing w:after="0" w:line="240" w:lineRule="auto"/>
            </w:pPr>
            <w:r>
              <w:t>0.078</w:t>
            </w:r>
          </w:p>
        </w:tc>
        <w:tc>
          <w:tcPr>
            <w:tcW w:w="1728" w:type="dxa"/>
          </w:tcPr>
          <w:p w14:paraId="05B79300">
            <w:pPr>
              <w:spacing w:after="0" w:line="240" w:lineRule="auto"/>
            </w:pPr>
            <w:r>
              <w:t>0.118</w:t>
            </w:r>
          </w:p>
        </w:tc>
        <w:tc>
          <w:tcPr>
            <w:tcW w:w="1728" w:type="dxa"/>
          </w:tcPr>
          <w:p w14:paraId="365CDB2D">
            <w:pPr>
              <w:spacing w:after="0" w:line="240" w:lineRule="auto"/>
            </w:pPr>
            <w:r>
              <w:t>0.117</w:t>
            </w:r>
          </w:p>
        </w:tc>
        <w:tc>
          <w:tcPr>
            <w:tcW w:w="1728" w:type="dxa"/>
          </w:tcPr>
          <w:p w14:paraId="37A04DEC">
            <w:pPr>
              <w:spacing w:after="0" w:line="240" w:lineRule="auto"/>
            </w:pPr>
            <w:r>
              <w:t>0.120</w:t>
            </w:r>
          </w:p>
        </w:tc>
      </w:tr>
      <w:tr w14:paraId="666B64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A10B4AE">
            <w:pPr>
              <w:spacing w:after="0" w:line="240" w:lineRule="auto"/>
            </w:pPr>
            <w:r>
              <w:t>神经系统</w:t>
            </w:r>
          </w:p>
        </w:tc>
        <w:tc>
          <w:tcPr>
            <w:tcW w:w="1728" w:type="dxa"/>
          </w:tcPr>
          <w:p w14:paraId="431D24F9">
            <w:pPr>
              <w:spacing w:after="0" w:line="240" w:lineRule="auto"/>
            </w:pPr>
            <w:r>
              <w:t>0.308</w:t>
            </w:r>
          </w:p>
        </w:tc>
        <w:tc>
          <w:tcPr>
            <w:tcW w:w="1728" w:type="dxa"/>
          </w:tcPr>
          <w:p w14:paraId="3293D0AB">
            <w:pPr>
              <w:spacing w:after="0" w:line="240" w:lineRule="auto"/>
            </w:pPr>
            <w:r>
              <w:t>0.230</w:t>
            </w:r>
          </w:p>
        </w:tc>
        <w:tc>
          <w:tcPr>
            <w:tcW w:w="1728" w:type="dxa"/>
          </w:tcPr>
          <w:p w14:paraId="072F9664">
            <w:pPr>
              <w:spacing w:after="0" w:line="240" w:lineRule="auto"/>
            </w:pPr>
            <w:r>
              <w:t>0.248</w:t>
            </w:r>
          </w:p>
        </w:tc>
        <w:tc>
          <w:tcPr>
            <w:tcW w:w="1728" w:type="dxa"/>
          </w:tcPr>
          <w:p w14:paraId="3B89349B">
            <w:pPr>
              <w:spacing w:after="0" w:line="240" w:lineRule="auto"/>
            </w:pPr>
            <w:r>
              <w:t>0.257</w:t>
            </w:r>
          </w:p>
        </w:tc>
      </w:tr>
      <w:tr w14:paraId="668535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FBE9164">
            <w:pPr>
              <w:spacing w:after="0" w:line="240" w:lineRule="auto"/>
            </w:pPr>
            <w:r>
              <w:t>肾脏</w:t>
            </w:r>
          </w:p>
        </w:tc>
        <w:tc>
          <w:tcPr>
            <w:tcW w:w="1728" w:type="dxa"/>
          </w:tcPr>
          <w:p w14:paraId="7EEE9793">
            <w:pPr>
              <w:spacing w:after="0" w:line="240" w:lineRule="auto"/>
            </w:pPr>
            <w:r>
              <w:t>0.094</w:t>
            </w:r>
          </w:p>
        </w:tc>
        <w:tc>
          <w:tcPr>
            <w:tcW w:w="1728" w:type="dxa"/>
          </w:tcPr>
          <w:p w14:paraId="47244DDD">
            <w:pPr>
              <w:spacing w:after="0" w:line="240" w:lineRule="auto"/>
            </w:pPr>
            <w:r>
              <w:t>0.106</w:t>
            </w:r>
          </w:p>
        </w:tc>
        <w:tc>
          <w:tcPr>
            <w:tcW w:w="1728" w:type="dxa"/>
          </w:tcPr>
          <w:p w14:paraId="255B14E2">
            <w:pPr>
              <w:spacing w:after="0" w:line="240" w:lineRule="auto"/>
            </w:pPr>
            <w:r>
              <w:t>0.112</w:t>
            </w:r>
          </w:p>
        </w:tc>
        <w:tc>
          <w:tcPr>
            <w:tcW w:w="1728" w:type="dxa"/>
          </w:tcPr>
          <w:p w14:paraId="140500D3">
            <w:pPr>
              <w:spacing w:after="0" w:line="240" w:lineRule="auto"/>
            </w:pPr>
            <w:r>
              <w:t>0.123</w:t>
            </w:r>
          </w:p>
        </w:tc>
      </w:tr>
    </w:tbl>
    <w:p w14:paraId="42E71DB2">
      <w:r>
        <w:rPr>
          <w:b w:val="0"/>
          <w:i/>
          <w:sz w:val="18"/>
        </w:rPr>
        <w:t>表9. 测试集四个时间点的平均MAE，按轴划分，在表6基础上加入绝对值对照组。HistGB+绝对值 在每一个轴上都是三个训练序列中最差的。</w:t>
      </w:r>
    </w:p>
    <w:p w14:paraId="0FE7377C">
      <w:r>
        <w:rPr>
          <w:b w:val="0"/>
          <w:i w:val="0"/>
        </w:rPr>
        <w:t>表10直接评估增量值本身（预测的六小时变化 vs. 观察到的变化），独立于重建过程，以确认这些模型确实在追踪真实的轨迹信息，而非仅仅利用SOFA评分很少变化这一事实：每个训练序列相较于一个始终预测“零变化”的模型（即持续性基线所隐含的增量值预测），都取得了明显更低的增量值MAE、更高的方向准确率，以及与观察到的变化更高的相关性。</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5CCA4F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728" w:type="dxa"/>
          </w:tcPr>
          <w:p w14:paraId="40167FEF">
            <w:pPr>
              <w:spacing w:after="0" w:line="240" w:lineRule="auto"/>
            </w:pPr>
            <w:r>
              <w:rPr>
                <w:b/>
              </w:rPr>
              <w:t>序列</w:t>
            </w:r>
          </w:p>
        </w:tc>
        <w:tc>
          <w:tcPr>
            <w:tcW w:w="1728" w:type="dxa"/>
          </w:tcPr>
          <w:p w14:paraId="556B2652">
            <w:pPr>
              <w:spacing w:after="0" w:line="240" w:lineRule="auto"/>
            </w:pPr>
            <w:r>
              <w:rPr>
                <w:b/>
              </w:rPr>
              <w:t>N</w:t>
            </w:r>
          </w:p>
        </w:tc>
        <w:tc>
          <w:tcPr>
            <w:tcW w:w="1728" w:type="dxa"/>
          </w:tcPr>
          <w:p w14:paraId="0A582827">
            <w:pPr>
              <w:spacing w:after="0" w:line="240" w:lineRule="auto"/>
            </w:pPr>
            <w:r>
              <w:rPr>
                <w:b/>
              </w:rPr>
              <w:t>增量值 MAE</w:t>
            </w:r>
          </w:p>
        </w:tc>
        <w:tc>
          <w:tcPr>
            <w:tcW w:w="1728" w:type="dxa"/>
          </w:tcPr>
          <w:p w14:paraId="31200CA2">
            <w:pPr>
              <w:spacing w:after="0" w:line="240" w:lineRule="auto"/>
            </w:pPr>
            <w:r>
              <w:rPr>
                <w:b/>
              </w:rPr>
              <w:t>方向准确率</w:t>
            </w:r>
          </w:p>
        </w:tc>
        <w:tc>
          <w:tcPr>
            <w:tcW w:w="1728" w:type="dxa"/>
          </w:tcPr>
          <w:p w14:paraId="61F9EA95">
            <w:pPr>
              <w:spacing w:after="0" w:line="240" w:lineRule="auto"/>
            </w:pPr>
            <w:r>
              <w:rPr>
                <w:b/>
              </w:rPr>
              <w:t>相关系数（预测 vs. 观察）</w:t>
            </w:r>
          </w:p>
        </w:tc>
      </w:tr>
      <w:tr w14:paraId="4C4195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167143F">
            <w:pPr>
              <w:spacing w:after="0" w:line="240" w:lineRule="auto"/>
            </w:pPr>
            <w:r>
              <w:t>序数模型（反推得出）</w:t>
            </w:r>
          </w:p>
        </w:tc>
        <w:tc>
          <w:tcPr>
            <w:tcW w:w="1728" w:type="dxa"/>
          </w:tcPr>
          <w:p w14:paraId="2A6B809D">
            <w:pPr>
              <w:spacing w:after="0" w:line="240" w:lineRule="auto"/>
            </w:pPr>
            <w:r>
              <w:t>7,187</w:t>
            </w:r>
          </w:p>
        </w:tc>
        <w:tc>
          <w:tcPr>
            <w:tcW w:w="1728" w:type="dxa"/>
          </w:tcPr>
          <w:p w14:paraId="7C66B746">
            <w:pPr>
              <w:spacing w:after="0" w:line="240" w:lineRule="auto"/>
            </w:pPr>
            <w:r>
              <w:t>0.591</w:t>
            </w:r>
          </w:p>
        </w:tc>
        <w:tc>
          <w:tcPr>
            <w:tcW w:w="1728" w:type="dxa"/>
          </w:tcPr>
          <w:p w14:paraId="6215F30D">
            <w:pPr>
              <w:spacing w:after="0" w:line="240" w:lineRule="auto"/>
            </w:pPr>
            <w:r>
              <w:t>84.0%</w:t>
            </w:r>
          </w:p>
        </w:tc>
        <w:tc>
          <w:tcPr>
            <w:tcW w:w="1728" w:type="dxa"/>
          </w:tcPr>
          <w:p w14:paraId="68D7C369">
            <w:pPr>
              <w:spacing w:after="0" w:line="240" w:lineRule="auto"/>
            </w:pPr>
            <w:r>
              <w:t>0.699</w:t>
            </w:r>
          </w:p>
        </w:tc>
      </w:tr>
      <w:tr w14:paraId="4C8C1C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9ECB2BD">
            <w:pPr>
              <w:spacing w:after="0" w:line="240" w:lineRule="auto"/>
            </w:pPr>
            <w:r>
              <w:t>HistGB（原生增量值）</w:t>
            </w:r>
          </w:p>
        </w:tc>
        <w:tc>
          <w:tcPr>
            <w:tcW w:w="1728" w:type="dxa"/>
          </w:tcPr>
          <w:p w14:paraId="23BB29BE">
            <w:pPr>
              <w:spacing w:after="0" w:line="240" w:lineRule="auto"/>
            </w:pPr>
            <w:r>
              <w:t>7,187</w:t>
            </w:r>
          </w:p>
        </w:tc>
        <w:tc>
          <w:tcPr>
            <w:tcW w:w="1728" w:type="dxa"/>
          </w:tcPr>
          <w:p w14:paraId="18EBF6A3">
            <w:pPr>
              <w:spacing w:after="0" w:line="240" w:lineRule="auto"/>
            </w:pPr>
            <w:r>
              <w:t>0.608</w:t>
            </w:r>
          </w:p>
        </w:tc>
        <w:tc>
          <w:tcPr>
            <w:tcW w:w="1728" w:type="dxa"/>
          </w:tcPr>
          <w:p w14:paraId="0122D206">
            <w:pPr>
              <w:spacing w:after="0" w:line="240" w:lineRule="auto"/>
            </w:pPr>
            <w:r>
              <w:t>82.9%</w:t>
            </w:r>
          </w:p>
        </w:tc>
        <w:tc>
          <w:tcPr>
            <w:tcW w:w="1728" w:type="dxa"/>
          </w:tcPr>
          <w:p w14:paraId="1FB2A618">
            <w:pPr>
              <w:spacing w:after="0" w:line="240" w:lineRule="auto"/>
            </w:pPr>
            <w:r>
              <w:t>0.694</w:t>
            </w:r>
          </w:p>
        </w:tc>
      </w:tr>
      <w:tr w14:paraId="06A605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2050F0A">
            <w:pPr>
              <w:spacing w:after="0" w:line="240" w:lineRule="auto"/>
            </w:pPr>
            <w:r>
              <w:t>HistGB + 绝对值（反推得出）</w:t>
            </w:r>
          </w:p>
        </w:tc>
        <w:tc>
          <w:tcPr>
            <w:tcW w:w="1728" w:type="dxa"/>
          </w:tcPr>
          <w:p w14:paraId="4813A463">
            <w:pPr>
              <w:spacing w:after="0" w:line="240" w:lineRule="auto"/>
            </w:pPr>
            <w:r>
              <w:t>7,187</w:t>
            </w:r>
          </w:p>
        </w:tc>
        <w:tc>
          <w:tcPr>
            <w:tcW w:w="1728" w:type="dxa"/>
          </w:tcPr>
          <w:p w14:paraId="3799A780">
            <w:pPr>
              <w:spacing w:after="0" w:line="240" w:lineRule="auto"/>
            </w:pPr>
            <w:r>
              <w:t>0.618</w:t>
            </w:r>
          </w:p>
        </w:tc>
        <w:tc>
          <w:tcPr>
            <w:tcW w:w="1728" w:type="dxa"/>
          </w:tcPr>
          <w:p w14:paraId="63CDCB4C">
            <w:pPr>
              <w:spacing w:after="0" w:line="240" w:lineRule="auto"/>
            </w:pPr>
            <w:r>
              <w:t>83.1%</w:t>
            </w:r>
          </w:p>
        </w:tc>
        <w:tc>
          <w:tcPr>
            <w:tcW w:w="1728" w:type="dxa"/>
          </w:tcPr>
          <w:p w14:paraId="1445BFB0">
            <w:pPr>
              <w:spacing w:after="0" w:line="240" w:lineRule="auto"/>
            </w:pPr>
            <w:r>
              <w:t>0.690</w:t>
            </w:r>
          </w:p>
        </w:tc>
      </w:tr>
      <w:tr w14:paraId="6F3F7A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5425F51">
            <w:pPr>
              <w:spacing w:after="0" w:line="240" w:lineRule="auto"/>
            </w:pPr>
            <w:r>
              <w:t>持续性基线（隐含增量值=0）</w:t>
            </w:r>
          </w:p>
        </w:tc>
        <w:tc>
          <w:tcPr>
            <w:tcW w:w="1728" w:type="dxa"/>
          </w:tcPr>
          <w:p w14:paraId="40343EEE">
            <w:pPr>
              <w:spacing w:after="0" w:line="240" w:lineRule="auto"/>
            </w:pPr>
            <w:r>
              <w:t>7,187</w:t>
            </w:r>
          </w:p>
        </w:tc>
        <w:tc>
          <w:tcPr>
            <w:tcW w:w="1728" w:type="dxa"/>
          </w:tcPr>
          <w:p w14:paraId="03862A60">
            <w:pPr>
              <w:spacing w:after="0" w:line="240" w:lineRule="auto"/>
            </w:pPr>
            <w:r>
              <w:t>0.726</w:t>
            </w:r>
          </w:p>
        </w:tc>
        <w:tc>
          <w:tcPr>
            <w:tcW w:w="1728" w:type="dxa"/>
          </w:tcPr>
          <w:p w14:paraId="07739A89">
            <w:pPr>
              <w:spacing w:after="0" w:line="240" w:lineRule="auto"/>
            </w:pPr>
            <w:r>
              <w:t>0.0%</w:t>
            </w:r>
          </w:p>
        </w:tc>
        <w:tc>
          <w:tcPr>
            <w:tcW w:w="1728" w:type="dxa"/>
          </w:tcPr>
          <w:p w14:paraId="1EFC53AE">
            <w:pPr>
              <w:spacing w:after="0" w:line="240" w:lineRule="auto"/>
            </w:pPr>
            <w:r>
              <w:t>不适用</w:t>
            </w:r>
          </w:p>
        </w:tc>
      </w:tr>
    </w:tbl>
    <w:p w14:paraId="30A51944">
      <w:r>
        <w:rPr>
          <w:b w:val="0"/>
          <w:i/>
          <w:sz w:val="18"/>
        </w:rPr>
        <w:t>表10. 增量值预测准确度，总SOFA，测试集。“反推得出”指用预测的绝对评分减去SOFA_now，适用于本身不原生预测增量值的序列。</w:t>
      </w:r>
    </w:p>
    <w:p w14:paraId="30D0B547">
      <w:pPr>
        <w:pStyle w:val="3"/>
      </w:pPr>
      <w:r>
        <w:t>3.8 各轴目标波动性：为何持续性基线在六轴中的五个上占优</w:t>
      </w:r>
    </w:p>
    <w:p w14:paraId="08D470C4">
      <w:r>
        <w:rPr>
          <w:b w:val="0"/>
          <w:i w:val="0"/>
        </w:rPr>
        <w:t>表11直接从结局变量本身（而非任何模型）出发，回答了每个轴究竟存在多少真实的六小时变化。这一模式干净利落地解决了这个问题：神经系统是唯一同时具备较大真实波动性（增量值标准差0.76，六轴中最高；仅有81.3%的窗口显示零变化）与较高测量频率（98.2%的行有测量值）的轴。其余每个轴都至少不满足这两个条件之一。呼吸轴的真实波动性几乎与神经系统相当（增量值标准差0.57；81.2%零变化——与神经系统的81.3%几乎完全相同），但测量比例不足一半（45.7%）；肾脏、凝血与心血管的测量比例均超过90%，但真实波动性小得多（增量值标准差0.29-0.36；91.8-93.4%零变化）；肝脏在两方面同时表现最差（增量值标准差0.19，最低；测量比例仅40.2%）。</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056B99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617F71A">
            <w:pPr>
              <w:spacing w:after="0" w:line="240" w:lineRule="auto"/>
            </w:pPr>
            <w:r>
              <w:rPr>
                <w:b/>
              </w:rPr>
              <w:t>轴</w:t>
            </w:r>
          </w:p>
        </w:tc>
        <w:tc>
          <w:tcPr>
            <w:tcW w:w="1440" w:type="dxa"/>
          </w:tcPr>
          <w:p w14:paraId="0B91C3A5">
            <w:pPr>
              <w:spacing w:after="0" w:line="240" w:lineRule="auto"/>
            </w:pPr>
            <w:r>
              <w:rPr>
                <w:b/>
              </w:rPr>
              <w:t>有测量值的N</w:t>
            </w:r>
          </w:p>
        </w:tc>
        <w:tc>
          <w:tcPr>
            <w:tcW w:w="1440" w:type="dxa"/>
          </w:tcPr>
          <w:p w14:paraId="67674B95">
            <w:pPr>
              <w:spacing w:after="0" w:line="240" w:lineRule="auto"/>
            </w:pPr>
            <w:r>
              <w:rPr>
                <w:b/>
              </w:rPr>
              <w:t>测量比例%</w:t>
            </w:r>
          </w:p>
        </w:tc>
        <w:tc>
          <w:tcPr>
            <w:tcW w:w="1440" w:type="dxa"/>
          </w:tcPr>
          <w:p w14:paraId="0415E2B9">
            <w:pPr>
              <w:spacing w:after="0" w:line="240" w:lineRule="auto"/>
            </w:pPr>
            <w:r>
              <w:rPr>
                <w:b/>
              </w:rPr>
              <w:t>零变化比例%（未变化）</w:t>
            </w:r>
          </w:p>
        </w:tc>
        <w:tc>
          <w:tcPr>
            <w:tcW w:w="1440" w:type="dxa"/>
          </w:tcPr>
          <w:p w14:paraId="6E856A6B">
            <w:pPr>
              <w:spacing w:after="0" w:line="240" w:lineRule="auto"/>
            </w:pPr>
            <w:r>
              <w:rPr>
                <w:b/>
              </w:rPr>
              <w:t>增量值标准差</w:t>
            </w:r>
          </w:p>
        </w:tc>
        <w:tc>
          <w:tcPr>
            <w:tcW w:w="1440" w:type="dxa"/>
          </w:tcPr>
          <w:p w14:paraId="704B7984">
            <w:pPr>
              <w:spacing w:after="0" w:line="240" w:lineRule="auto"/>
            </w:pPr>
            <w:r>
              <w:rPr>
                <w:b/>
              </w:rPr>
              <w:t>是否优于持续性基线？</w:t>
            </w:r>
          </w:p>
        </w:tc>
      </w:tr>
      <w:tr w14:paraId="15BAF7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3DC0C51">
            <w:pPr>
              <w:spacing w:after="0" w:line="240" w:lineRule="auto"/>
            </w:pPr>
            <w:r>
              <w:t>神经系统</w:t>
            </w:r>
          </w:p>
        </w:tc>
        <w:tc>
          <w:tcPr>
            <w:tcW w:w="1440" w:type="dxa"/>
          </w:tcPr>
          <w:p w14:paraId="057102D2">
            <w:pPr>
              <w:spacing w:after="0" w:line="240" w:lineRule="auto"/>
            </w:pPr>
            <w:r>
              <w:t>47,119</w:t>
            </w:r>
          </w:p>
        </w:tc>
        <w:tc>
          <w:tcPr>
            <w:tcW w:w="1440" w:type="dxa"/>
          </w:tcPr>
          <w:p w14:paraId="04CB491B">
            <w:pPr>
              <w:spacing w:after="0" w:line="240" w:lineRule="auto"/>
            </w:pPr>
            <w:r>
              <w:t>98.2%</w:t>
            </w:r>
          </w:p>
        </w:tc>
        <w:tc>
          <w:tcPr>
            <w:tcW w:w="1440" w:type="dxa"/>
          </w:tcPr>
          <w:p w14:paraId="58FC8DE1">
            <w:pPr>
              <w:spacing w:after="0" w:line="240" w:lineRule="auto"/>
            </w:pPr>
            <w:r>
              <w:t>81.3%</w:t>
            </w:r>
          </w:p>
        </w:tc>
        <w:tc>
          <w:tcPr>
            <w:tcW w:w="1440" w:type="dxa"/>
          </w:tcPr>
          <w:p w14:paraId="65A0B4A6">
            <w:pPr>
              <w:spacing w:after="0" w:line="240" w:lineRule="auto"/>
            </w:pPr>
            <w:r>
              <w:t>0.764</w:t>
            </w:r>
          </w:p>
        </w:tc>
        <w:tc>
          <w:tcPr>
            <w:tcW w:w="1440" w:type="dxa"/>
          </w:tcPr>
          <w:p w14:paraId="6AEA6836">
            <w:pPr>
              <w:spacing w:after="0" w:line="240" w:lineRule="auto"/>
            </w:pPr>
            <w:r>
              <w:t>是</w:t>
            </w:r>
          </w:p>
        </w:tc>
      </w:tr>
      <w:tr w14:paraId="6FAFEF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FEF38DB">
            <w:pPr>
              <w:spacing w:after="0" w:line="240" w:lineRule="auto"/>
            </w:pPr>
            <w:r>
              <w:t>呼吸</w:t>
            </w:r>
          </w:p>
        </w:tc>
        <w:tc>
          <w:tcPr>
            <w:tcW w:w="1440" w:type="dxa"/>
          </w:tcPr>
          <w:p w14:paraId="0732F5F4">
            <w:pPr>
              <w:spacing w:after="0" w:line="240" w:lineRule="auto"/>
            </w:pPr>
            <w:r>
              <w:t>21,944</w:t>
            </w:r>
          </w:p>
        </w:tc>
        <w:tc>
          <w:tcPr>
            <w:tcW w:w="1440" w:type="dxa"/>
          </w:tcPr>
          <w:p w14:paraId="1F98BFAE">
            <w:pPr>
              <w:spacing w:after="0" w:line="240" w:lineRule="auto"/>
            </w:pPr>
            <w:r>
              <w:t>45.7%</w:t>
            </w:r>
          </w:p>
        </w:tc>
        <w:tc>
          <w:tcPr>
            <w:tcW w:w="1440" w:type="dxa"/>
          </w:tcPr>
          <w:p w14:paraId="0F1B91FC">
            <w:pPr>
              <w:spacing w:after="0" w:line="240" w:lineRule="auto"/>
            </w:pPr>
            <w:r>
              <w:t>81.2%</w:t>
            </w:r>
          </w:p>
        </w:tc>
        <w:tc>
          <w:tcPr>
            <w:tcW w:w="1440" w:type="dxa"/>
          </w:tcPr>
          <w:p w14:paraId="2B863847">
            <w:pPr>
              <w:spacing w:after="0" w:line="240" w:lineRule="auto"/>
            </w:pPr>
            <w:r>
              <w:t>0.571</w:t>
            </w:r>
          </w:p>
        </w:tc>
        <w:tc>
          <w:tcPr>
            <w:tcW w:w="1440" w:type="dxa"/>
          </w:tcPr>
          <w:p w14:paraId="5E83EFB2">
            <w:pPr>
              <w:spacing w:after="0" w:line="240" w:lineRule="auto"/>
            </w:pPr>
            <w:r>
              <w:t>否</w:t>
            </w:r>
          </w:p>
        </w:tc>
      </w:tr>
      <w:tr w14:paraId="1846A2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E55D645">
            <w:pPr>
              <w:spacing w:after="0" w:line="240" w:lineRule="auto"/>
            </w:pPr>
            <w:r>
              <w:t>肾脏</w:t>
            </w:r>
          </w:p>
        </w:tc>
        <w:tc>
          <w:tcPr>
            <w:tcW w:w="1440" w:type="dxa"/>
          </w:tcPr>
          <w:p w14:paraId="4C60141D">
            <w:pPr>
              <w:spacing w:after="0" w:line="240" w:lineRule="auto"/>
            </w:pPr>
            <w:r>
              <w:t>47,292</w:t>
            </w:r>
          </w:p>
        </w:tc>
        <w:tc>
          <w:tcPr>
            <w:tcW w:w="1440" w:type="dxa"/>
          </w:tcPr>
          <w:p w14:paraId="79E51363">
            <w:pPr>
              <w:spacing w:after="0" w:line="240" w:lineRule="auto"/>
            </w:pPr>
            <w:r>
              <w:t>98.5%</w:t>
            </w:r>
          </w:p>
        </w:tc>
        <w:tc>
          <w:tcPr>
            <w:tcW w:w="1440" w:type="dxa"/>
          </w:tcPr>
          <w:p w14:paraId="500E7703">
            <w:pPr>
              <w:spacing w:after="0" w:line="240" w:lineRule="auto"/>
            </w:pPr>
            <w:r>
              <w:t>93.4%</w:t>
            </w:r>
          </w:p>
        </w:tc>
        <w:tc>
          <w:tcPr>
            <w:tcW w:w="1440" w:type="dxa"/>
          </w:tcPr>
          <w:p w14:paraId="3D48ADCE">
            <w:pPr>
              <w:spacing w:after="0" w:line="240" w:lineRule="auto"/>
            </w:pPr>
            <w:r>
              <w:t>0.362</w:t>
            </w:r>
          </w:p>
        </w:tc>
        <w:tc>
          <w:tcPr>
            <w:tcW w:w="1440" w:type="dxa"/>
          </w:tcPr>
          <w:p w14:paraId="39A79C08">
            <w:pPr>
              <w:spacing w:after="0" w:line="240" w:lineRule="auto"/>
            </w:pPr>
            <w:r>
              <w:t>否</w:t>
            </w:r>
          </w:p>
        </w:tc>
      </w:tr>
      <w:tr w14:paraId="605C8B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21BA45D">
            <w:pPr>
              <w:spacing w:after="0" w:line="240" w:lineRule="auto"/>
            </w:pPr>
            <w:r>
              <w:t>凝血</w:t>
            </w:r>
          </w:p>
        </w:tc>
        <w:tc>
          <w:tcPr>
            <w:tcW w:w="1440" w:type="dxa"/>
          </w:tcPr>
          <w:p w14:paraId="79DE5AE5">
            <w:pPr>
              <w:spacing w:after="0" w:line="240" w:lineRule="auto"/>
            </w:pPr>
            <w:r>
              <w:t>44,615</w:t>
            </w:r>
          </w:p>
        </w:tc>
        <w:tc>
          <w:tcPr>
            <w:tcW w:w="1440" w:type="dxa"/>
          </w:tcPr>
          <w:p w14:paraId="1B738D78">
            <w:pPr>
              <w:spacing w:after="0" w:line="240" w:lineRule="auto"/>
            </w:pPr>
            <w:r>
              <w:t>93.0%</w:t>
            </w:r>
          </w:p>
        </w:tc>
        <w:tc>
          <w:tcPr>
            <w:tcW w:w="1440" w:type="dxa"/>
          </w:tcPr>
          <w:p w14:paraId="5BD8D116">
            <w:pPr>
              <w:spacing w:after="0" w:line="240" w:lineRule="auto"/>
            </w:pPr>
            <w:r>
              <w:t>92.7%</w:t>
            </w:r>
          </w:p>
        </w:tc>
        <w:tc>
          <w:tcPr>
            <w:tcW w:w="1440" w:type="dxa"/>
          </w:tcPr>
          <w:p w14:paraId="5F30A4D6">
            <w:pPr>
              <w:spacing w:after="0" w:line="240" w:lineRule="auto"/>
            </w:pPr>
            <w:r>
              <w:t>0.294</w:t>
            </w:r>
          </w:p>
        </w:tc>
        <w:tc>
          <w:tcPr>
            <w:tcW w:w="1440" w:type="dxa"/>
          </w:tcPr>
          <w:p w14:paraId="14A9E910">
            <w:pPr>
              <w:spacing w:after="0" w:line="240" w:lineRule="auto"/>
            </w:pPr>
            <w:r>
              <w:t>否</w:t>
            </w:r>
          </w:p>
        </w:tc>
      </w:tr>
      <w:tr w14:paraId="6B78E8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6141278A">
            <w:pPr>
              <w:spacing w:after="0" w:line="240" w:lineRule="auto"/>
            </w:pPr>
            <w:r>
              <w:t>心血管</w:t>
            </w:r>
          </w:p>
        </w:tc>
        <w:tc>
          <w:tcPr>
            <w:tcW w:w="1440" w:type="dxa"/>
          </w:tcPr>
          <w:p w14:paraId="7AF9E274">
            <w:pPr>
              <w:spacing w:after="0" w:line="240" w:lineRule="auto"/>
            </w:pPr>
            <w:r>
              <w:t>47,160</w:t>
            </w:r>
          </w:p>
        </w:tc>
        <w:tc>
          <w:tcPr>
            <w:tcW w:w="1440" w:type="dxa"/>
          </w:tcPr>
          <w:p w14:paraId="6D3F53EA">
            <w:pPr>
              <w:spacing w:after="0" w:line="240" w:lineRule="auto"/>
            </w:pPr>
            <w:r>
              <w:t>98.3%</w:t>
            </w:r>
          </w:p>
        </w:tc>
        <w:tc>
          <w:tcPr>
            <w:tcW w:w="1440" w:type="dxa"/>
          </w:tcPr>
          <w:p w14:paraId="2C672020">
            <w:pPr>
              <w:spacing w:after="0" w:line="240" w:lineRule="auto"/>
            </w:pPr>
            <w:r>
              <w:t>91.8%</w:t>
            </w:r>
          </w:p>
        </w:tc>
        <w:tc>
          <w:tcPr>
            <w:tcW w:w="1440" w:type="dxa"/>
          </w:tcPr>
          <w:p w14:paraId="2DC46137">
            <w:pPr>
              <w:spacing w:after="0" w:line="240" w:lineRule="auto"/>
            </w:pPr>
            <w:r>
              <w:t>0.286</w:t>
            </w:r>
          </w:p>
        </w:tc>
        <w:tc>
          <w:tcPr>
            <w:tcW w:w="1440" w:type="dxa"/>
          </w:tcPr>
          <w:p w14:paraId="038A027E">
            <w:pPr>
              <w:spacing w:after="0" w:line="240" w:lineRule="auto"/>
            </w:pPr>
            <w:r>
              <w:t>否</w:t>
            </w:r>
          </w:p>
        </w:tc>
      </w:tr>
      <w:tr w14:paraId="661D81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F035ECD">
            <w:pPr>
              <w:spacing w:after="0" w:line="240" w:lineRule="auto"/>
            </w:pPr>
            <w:r>
              <w:t>肝脏</w:t>
            </w:r>
          </w:p>
        </w:tc>
        <w:tc>
          <w:tcPr>
            <w:tcW w:w="1440" w:type="dxa"/>
          </w:tcPr>
          <w:p w14:paraId="5DA28F53">
            <w:pPr>
              <w:spacing w:after="0" w:line="240" w:lineRule="auto"/>
            </w:pPr>
            <w:r>
              <w:t>19,273</w:t>
            </w:r>
          </w:p>
        </w:tc>
        <w:tc>
          <w:tcPr>
            <w:tcW w:w="1440" w:type="dxa"/>
          </w:tcPr>
          <w:p w14:paraId="20B28C5D">
            <w:pPr>
              <w:spacing w:after="0" w:line="240" w:lineRule="auto"/>
            </w:pPr>
            <w:r>
              <w:t>40.2%</w:t>
            </w:r>
          </w:p>
        </w:tc>
        <w:tc>
          <w:tcPr>
            <w:tcW w:w="1440" w:type="dxa"/>
          </w:tcPr>
          <w:p w14:paraId="27F25B46">
            <w:pPr>
              <w:spacing w:after="0" w:line="240" w:lineRule="auto"/>
            </w:pPr>
            <w:r>
              <w:t>97.0%</w:t>
            </w:r>
          </w:p>
        </w:tc>
        <w:tc>
          <w:tcPr>
            <w:tcW w:w="1440" w:type="dxa"/>
          </w:tcPr>
          <w:p w14:paraId="3850459F">
            <w:pPr>
              <w:spacing w:after="0" w:line="240" w:lineRule="auto"/>
            </w:pPr>
            <w:r>
              <w:t>0.191</w:t>
            </w:r>
          </w:p>
        </w:tc>
        <w:tc>
          <w:tcPr>
            <w:tcW w:w="1440" w:type="dxa"/>
          </w:tcPr>
          <w:p w14:paraId="69C0E2B9">
            <w:pPr>
              <w:spacing w:after="0" w:line="240" w:lineRule="auto"/>
            </w:pPr>
            <w:r>
              <w:t>否</w:t>
            </w:r>
          </w:p>
        </w:tc>
      </w:tr>
    </w:tbl>
    <w:p w14:paraId="6B8FB03D">
      <w:r>
        <w:rPr>
          <w:b w:val="0"/>
          <w:i/>
          <w:sz w:val="18"/>
        </w:rPr>
        <w:t>表11. 各轴真实六小时波动性（targets.csv中的{axis}_delta，取全部有测量值的行，跨划分/时间点合并统计），并附测量频率。Δ = 该轴自身评分的六小时变化量。“是否优于持续性基线”重申了表6的发现。</w:t>
      </w:r>
    </w:p>
    <w:p w14:paraId="17C93491">
      <w:r>
        <w:rPr>
          <w:b w:val="0"/>
          <w:i w:val="0"/>
        </w:rPr>
        <w:t>这一结果支持的解读是：高波动性本身并不充分（呼吸轴具备波动性，但测量过于稀疏，模型难以可靠地学到规律），高测量频率本身也不充分（肾脏、凝血与心血管测量都很充分，但真实变化量太小，几乎没有可预测的内容）——两个条件必须同时满足，而神经系统是唯一同时满足二者的轴。这一发现直接取代了此前在第4.4节中不够完整的表述，此前将测量频率与波动性当作两个各自独立、需要分别判断成立与否的候选解释，而非一个联合条件。</w:t>
      </w:r>
    </w:p>
    <w:p w14:paraId="57120940">
      <w:pPr>
        <w:pStyle w:val="3"/>
      </w:pPr>
      <w:r>
        <w:t>3.9 心血管评分的退化程度</w:t>
      </w:r>
    </w:p>
    <w:p w14:paraId="7D49132A">
      <w:r>
        <w:rPr>
          <w:b w:val="0"/>
          <w:i w:val="0"/>
        </w:rPr>
        <w:t>表12将心血管评分的完整取值分布（而不仅是其增量值）与肾脏评分对比——之所以选择肾脏轴，是因为它同样输给了持续性基线，但并不受任何数据缺失上限的约束，可用于检验这两个轴的失利是否出于相同原因。答案是否定的。心血管评分只能取0或1这两个值（data_prep/scoring.py::cardio_score 的代码注释本身即写明“2-4分不可达：无血管加压药数据”）——实证结果证实了这一点：100%有测量值的心血管评分均为0或1（其中73.9%为1，即窗口内某处最低平均动脉压 &lt; 70 mmHg——在24小时窗口内这是常见情况，而非罕见事件）。肾脏轴没有这样的上限约束，覆盖了其完整的0-4临床评分范围（64.6% / 19.0% / 7.3% / 4.7% / 4.4%）。神经系统轴——恰恰是优于持续性基线的那个轴——同样覆盖了其完整的评分范围，没有任何单一取值占据主导地位（33.2% / 13.6% / 14.6% / 22.7% / 15.9%）。</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3A8C12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48145881">
            <w:pPr>
              <w:spacing w:after="0" w:line="240" w:lineRule="auto"/>
            </w:pPr>
            <w:r>
              <w:rPr>
                <w:b/>
              </w:rPr>
              <w:t>轴</w:t>
            </w:r>
          </w:p>
        </w:tc>
        <w:tc>
          <w:tcPr>
            <w:tcW w:w="1234" w:type="dxa"/>
          </w:tcPr>
          <w:p w14:paraId="35C1FC8C">
            <w:pPr>
              <w:spacing w:after="0" w:line="240" w:lineRule="auto"/>
            </w:pPr>
            <w:r>
              <w:rPr>
                <w:b/>
              </w:rPr>
              <w:t>有测量值的N</w:t>
            </w:r>
          </w:p>
        </w:tc>
        <w:tc>
          <w:tcPr>
            <w:tcW w:w="1234" w:type="dxa"/>
          </w:tcPr>
          <w:p w14:paraId="1C8C5B15">
            <w:pPr>
              <w:spacing w:after="0" w:line="240" w:lineRule="auto"/>
            </w:pPr>
            <w:r>
              <w:rPr>
                <w:b/>
              </w:rPr>
              <w:t>评分为0的比例</w:t>
            </w:r>
          </w:p>
        </w:tc>
        <w:tc>
          <w:tcPr>
            <w:tcW w:w="1234" w:type="dxa"/>
          </w:tcPr>
          <w:p w14:paraId="2F6E54A3">
            <w:pPr>
              <w:spacing w:after="0" w:line="240" w:lineRule="auto"/>
            </w:pPr>
            <w:r>
              <w:rPr>
                <w:b/>
              </w:rPr>
              <w:t>评分为1的比例</w:t>
            </w:r>
          </w:p>
        </w:tc>
        <w:tc>
          <w:tcPr>
            <w:tcW w:w="1234" w:type="dxa"/>
          </w:tcPr>
          <w:p w14:paraId="43D2374B">
            <w:pPr>
              <w:spacing w:after="0" w:line="240" w:lineRule="auto"/>
            </w:pPr>
            <w:r>
              <w:rPr>
                <w:b/>
              </w:rPr>
              <w:t>评分为2的比例</w:t>
            </w:r>
          </w:p>
        </w:tc>
        <w:tc>
          <w:tcPr>
            <w:tcW w:w="1234" w:type="dxa"/>
          </w:tcPr>
          <w:p w14:paraId="33EBEADA">
            <w:pPr>
              <w:spacing w:after="0" w:line="240" w:lineRule="auto"/>
            </w:pPr>
            <w:r>
              <w:rPr>
                <w:b/>
              </w:rPr>
              <w:t>评分为3的比例</w:t>
            </w:r>
          </w:p>
        </w:tc>
        <w:tc>
          <w:tcPr>
            <w:tcW w:w="1234" w:type="dxa"/>
          </w:tcPr>
          <w:p w14:paraId="3206F0C4">
            <w:pPr>
              <w:spacing w:after="0" w:line="240" w:lineRule="auto"/>
            </w:pPr>
            <w:r>
              <w:rPr>
                <w:b/>
              </w:rPr>
              <w:t>评分为4的比例</w:t>
            </w:r>
          </w:p>
        </w:tc>
      </w:tr>
      <w:tr w14:paraId="4DE49A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779CC8D9">
            <w:pPr>
              <w:spacing w:after="0" w:line="240" w:lineRule="auto"/>
            </w:pPr>
            <w:r>
              <w:t>心血管（受上限约束）</w:t>
            </w:r>
          </w:p>
        </w:tc>
        <w:tc>
          <w:tcPr>
            <w:tcW w:w="1234" w:type="dxa"/>
          </w:tcPr>
          <w:p w14:paraId="4C9C15E8">
            <w:pPr>
              <w:spacing w:after="0" w:line="240" w:lineRule="auto"/>
            </w:pPr>
            <w:r>
              <w:t>47,180</w:t>
            </w:r>
          </w:p>
        </w:tc>
        <w:tc>
          <w:tcPr>
            <w:tcW w:w="1234" w:type="dxa"/>
          </w:tcPr>
          <w:p w14:paraId="23634CD7">
            <w:pPr>
              <w:spacing w:after="0" w:line="240" w:lineRule="auto"/>
            </w:pPr>
            <w:r>
              <w:t>26.1%</w:t>
            </w:r>
          </w:p>
        </w:tc>
        <w:tc>
          <w:tcPr>
            <w:tcW w:w="1234" w:type="dxa"/>
          </w:tcPr>
          <w:p w14:paraId="2E7F9EB8">
            <w:pPr>
              <w:spacing w:after="0" w:line="240" w:lineRule="auto"/>
            </w:pPr>
            <w:r>
              <w:t>73.9%</w:t>
            </w:r>
          </w:p>
        </w:tc>
        <w:tc>
          <w:tcPr>
            <w:tcW w:w="1234" w:type="dxa"/>
          </w:tcPr>
          <w:p w14:paraId="7CE46B90">
            <w:pPr>
              <w:spacing w:after="0" w:line="240" w:lineRule="auto"/>
            </w:pPr>
            <w:r>
              <w:t>—（不可达）</w:t>
            </w:r>
          </w:p>
        </w:tc>
        <w:tc>
          <w:tcPr>
            <w:tcW w:w="1234" w:type="dxa"/>
          </w:tcPr>
          <w:p w14:paraId="42F9C7CA">
            <w:pPr>
              <w:spacing w:after="0" w:line="240" w:lineRule="auto"/>
            </w:pPr>
            <w:r>
              <w:t>—（不可达）</w:t>
            </w:r>
          </w:p>
        </w:tc>
        <w:tc>
          <w:tcPr>
            <w:tcW w:w="1234" w:type="dxa"/>
          </w:tcPr>
          <w:p w14:paraId="7E7D0725">
            <w:pPr>
              <w:spacing w:after="0" w:line="240" w:lineRule="auto"/>
            </w:pPr>
            <w:r>
              <w:t>—（不可达）</w:t>
            </w:r>
          </w:p>
        </w:tc>
      </w:tr>
      <w:tr w14:paraId="47E1F4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69D4306C">
            <w:pPr>
              <w:spacing w:after="0" w:line="240" w:lineRule="auto"/>
            </w:pPr>
            <w:r>
              <w:t>肾脏（无上限约束）</w:t>
            </w:r>
          </w:p>
        </w:tc>
        <w:tc>
          <w:tcPr>
            <w:tcW w:w="1234" w:type="dxa"/>
          </w:tcPr>
          <w:p w14:paraId="038A182B">
            <w:pPr>
              <w:spacing w:after="0" w:line="240" w:lineRule="auto"/>
            </w:pPr>
            <w:r>
              <w:t>47,517</w:t>
            </w:r>
          </w:p>
        </w:tc>
        <w:tc>
          <w:tcPr>
            <w:tcW w:w="1234" w:type="dxa"/>
          </w:tcPr>
          <w:p w14:paraId="02496066">
            <w:pPr>
              <w:spacing w:after="0" w:line="240" w:lineRule="auto"/>
            </w:pPr>
            <w:r>
              <w:t>64.6%</w:t>
            </w:r>
          </w:p>
        </w:tc>
        <w:tc>
          <w:tcPr>
            <w:tcW w:w="1234" w:type="dxa"/>
          </w:tcPr>
          <w:p w14:paraId="31FAE034">
            <w:pPr>
              <w:spacing w:after="0" w:line="240" w:lineRule="auto"/>
            </w:pPr>
            <w:r>
              <w:t>19.0%</w:t>
            </w:r>
          </w:p>
        </w:tc>
        <w:tc>
          <w:tcPr>
            <w:tcW w:w="1234" w:type="dxa"/>
          </w:tcPr>
          <w:p w14:paraId="2C4F3983">
            <w:pPr>
              <w:spacing w:after="0" w:line="240" w:lineRule="auto"/>
            </w:pPr>
            <w:r>
              <w:t>7.3%</w:t>
            </w:r>
          </w:p>
        </w:tc>
        <w:tc>
          <w:tcPr>
            <w:tcW w:w="1234" w:type="dxa"/>
          </w:tcPr>
          <w:p w14:paraId="1EFCA6C9">
            <w:pPr>
              <w:spacing w:after="0" w:line="240" w:lineRule="auto"/>
            </w:pPr>
            <w:r>
              <w:t>4.7%</w:t>
            </w:r>
          </w:p>
        </w:tc>
        <w:tc>
          <w:tcPr>
            <w:tcW w:w="1234" w:type="dxa"/>
          </w:tcPr>
          <w:p w14:paraId="29E334F6">
            <w:pPr>
              <w:spacing w:after="0" w:line="240" w:lineRule="auto"/>
            </w:pPr>
            <w:r>
              <w:t>4.4%</w:t>
            </w:r>
          </w:p>
        </w:tc>
      </w:tr>
      <w:tr w14:paraId="2A07AF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BD70DF6">
            <w:pPr>
              <w:spacing w:after="0" w:line="240" w:lineRule="auto"/>
            </w:pPr>
            <w:r>
              <w:t>神经系统（无上限约束）</w:t>
            </w:r>
          </w:p>
        </w:tc>
        <w:tc>
          <w:tcPr>
            <w:tcW w:w="1234" w:type="dxa"/>
          </w:tcPr>
          <w:p w14:paraId="5477AF48">
            <w:pPr>
              <w:spacing w:after="0" w:line="240" w:lineRule="auto"/>
            </w:pPr>
            <w:r>
              <w:t>47,155</w:t>
            </w:r>
          </w:p>
        </w:tc>
        <w:tc>
          <w:tcPr>
            <w:tcW w:w="1234" w:type="dxa"/>
          </w:tcPr>
          <w:p w14:paraId="79EAEFEE">
            <w:pPr>
              <w:spacing w:after="0" w:line="240" w:lineRule="auto"/>
            </w:pPr>
            <w:r>
              <w:t>33.2%</w:t>
            </w:r>
          </w:p>
        </w:tc>
        <w:tc>
          <w:tcPr>
            <w:tcW w:w="1234" w:type="dxa"/>
          </w:tcPr>
          <w:p w14:paraId="62C5D837">
            <w:pPr>
              <w:spacing w:after="0" w:line="240" w:lineRule="auto"/>
            </w:pPr>
            <w:r>
              <w:t>13.6%</w:t>
            </w:r>
          </w:p>
        </w:tc>
        <w:tc>
          <w:tcPr>
            <w:tcW w:w="1234" w:type="dxa"/>
          </w:tcPr>
          <w:p w14:paraId="209940A8">
            <w:pPr>
              <w:spacing w:after="0" w:line="240" w:lineRule="auto"/>
            </w:pPr>
            <w:r>
              <w:t>14.6%</w:t>
            </w:r>
          </w:p>
        </w:tc>
        <w:tc>
          <w:tcPr>
            <w:tcW w:w="1234" w:type="dxa"/>
          </w:tcPr>
          <w:p w14:paraId="0A148512">
            <w:pPr>
              <w:spacing w:after="0" w:line="240" w:lineRule="auto"/>
            </w:pPr>
            <w:r>
              <w:t>22.7%</w:t>
            </w:r>
          </w:p>
        </w:tc>
        <w:tc>
          <w:tcPr>
            <w:tcW w:w="1234" w:type="dxa"/>
          </w:tcPr>
          <w:p w14:paraId="595C7DDB">
            <w:pPr>
              <w:spacing w:after="0" w:line="240" w:lineRule="auto"/>
            </w:pPr>
            <w:r>
              <w:t>15.9%</w:t>
            </w:r>
          </w:p>
        </w:tc>
      </w:tr>
    </w:tbl>
    <w:p w14:paraId="62952FB2">
      <w:r>
        <w:rPr>
          <w:b w:val="0"/>
          <w:i/>
          <w:sz w:val="18"/>
        </w:rPr>
        <w:t>表12. 目标窗口内完整评分取值分布，取全部有测量值的行合并统计。心血管评分被限制在两个取值之内，是数据缺失（血管加压药/正性肌力药数据，第1.2节）在代码层面的直接后果，而非所有“持续性基线占优”的轴共有的属性。</w:t>
      </w:r>
    </w:p>
    <w:p w14:paraId="185ED199">
      <w:r>
        <w:rPr>
          <w:b w:val="0"/>
          <w:i w:val="0"/>
        </w:rPr>
        <w:t>这直接回答了缺失心血管数据是否能解释这一发现：是的——但仅针对心血管轴本身——被限制在两个取值之内，从机制上限制了任何模型（无论其质量如何）所能提取的总信息量，而这一限制正是本项目所缺失数据的一个直接、有据可查的后果。但这一机制并不能推广解释其余三个持续性基线占优的轴：肾脏与凝血并未受到任何数据缺失上限的约束，它们输给持续性基线是出于表11所示的波动性原因（真实的、缓慢的生理变化，而非数据造成的人为上限）；呼吸轴尽管具备可观的真实波动性，却仍输给持续性基线，原因在于测量稀疏。若将“缺失心血管数据”等同于“持续性基线整体占优的原因”，将会把一个真实存在但仅限于该轴的局限性夸大为一个它并不能解释的普遍性结论。</w:t>
      </w:r>
    </w:p>
    <w:p w14:paraId="76C1B072">
      <w:pPr>
        <w:pStyle w:val="3"/>
      </w:pPr>
      <w:r>
        <w:t>3.10 恶化分类器的风险分层价值</w:t>
      </w:r>
    </w:p>
    <w:p w14:paraId="6C8214BB">
      <w:r>
        <w:rPr>
          <w:b w:val="0"/>
          <w:i w:val="0"/>
        </w:rPr>
        <w:t>表13将恶化分类器的判别能力（表7）转化为一个具体、直观的实际价值陈述：在真正发生病情恶化的患者中，仅监测模型判定的最高风险切片，能够捕获其中多大比例。仅标记测试集中风险最高的10%（病例、决策时间点）组合，即可捕获全部真实恶化事件中的48.8%——比随机标记10%的行几乎高出11倍（提升倍数10.8倍）；标记风险最高的20%则可捕获67.6%的事件（提升倍数15.0倍）。这就是该模型对“这项研究究竟有什么帮助”这一问题的回答：并非临床验证层面的结论，而是一个量化的、数量级意义上的陈述——说明利用这一信号，一份固定的监护或复查资源预算能够被更高效地targeted投放，而不是对每个时间点一视同仁地对待。</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74F497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18805D4">
            <w:pPr>
              <w:spacing w:after="0" w:line="240" w:lineRule="auto"/>
            </w:pPr>
            <w:r>
              <w:rPr>
                <w:b/>
              </w:rPr>
              <w:t>标记比例（风险最高）</w:t>
            </w:r>
          </w:p>
        </w:tc>
        <w:tc>
          <w:tcPr>
            <w:tcW w:w="1728" w:type="dxa"/>
          </w:tcPr>
          <w:p w14:paraId="094F0C01">
            <w:pPr>
              <w:spacing w:after="0" w:line="240" w:lineRule="auto"/>
            </w:pPr>
            <w:r>
              <w:rPr>
                <w:b/>
              </w:rPr>
              <w:t>标记行数</w:t>
            </w:r>
          </w:p>
        </w:tc>
        <w:tc>
          <w:tcPr>
            <w:tcW w:w="1728" w:type="dxa"/>
          </w:tcPr>
          <w:p w14:paraId="48D1EDDE">
            <w:pPr>
              <w:spacing w:after="0" w:line="240" w:lineRule="auto"/>
            </w:pPr>
            <w:r>
              <w:rPr>
                <w:b/>
              </w:rPr>
              <w:t>捕获的真实恶化事件</w:t>
            </w:r>
          </w:p>
        </w:tc>
        <w:tc>
          <w:tcPr>
            <w:tcW w:w="1728" w:type="dxa"/>
          </w:tcPr>
          <w:p w14:paraId="60B656A7">
            <w:pPr>
              <w:spacing w:after="0" w:line="240" w:lineRule="auto"/>
            </w:pPr>
            <w:r>
              <w:rPr>
                <w:b/>
              </w:rPr>
              <w:t>捕获率（95%置信区间）</w:t>
            </w:r>
          </w:p>
        </w:tc>
        <w:tc>
          <w:tcPr>
            <w:tcW w:w="1728" w:type="dxa"/>
          </w:tcPr>
          <w:p w14:paraId="0E7F8572">
            <w:pPr>
              <w:spacing w:after="0" w:line="240" w:lineRule="auto"/>
            </w:pPr>
            <w:r>
              <w:rPr>
                <w:b/>
              </w:rPr>
              <w:t>相对随机的提升倍数</w:t>
            </w:r>
          </w:p>
        </w:tc>
      </w:tr>
      <w:tr w14:paraId="394EFC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1B4D4CC">
            <w:pPr>
              <w:spacing w:after="0" w:line="240" w:lineRule="auto"/>
            </w:pPr>
            <w:r>
              <w:t>5%</w:t>
            </w:r>
          </w:p>
        </w:tc>
        <w:tc>
          <w:tcPr>
            <w:tcW w:w="1728" w:type="dxa"/>
          </w:tcPr>
          <w:p w14:paraId="4C150DC7">
            <w:pPr>
              <w:spacing w:after="0" w:line="240" w:lineRule="auto"/>
            </w:pPr>
            <w:r>
              <w:t>359</w:t>
            </w:r>
          </w:p>
        </w:tc>
        <w:tc>
          <w:tcPr>
            <w:tcW w:w="1728" w:type="dxa"/>
          </w:tcPr>
          <w:p w14:paraId="7D96F4AF">
            <w:pPr>
              <w:spacing w:after="0" w:line="240" w:lineRule="auto"/>
            </w:pPr>
            <w:r>
              <w:t>324例中的118例</w:t>
            </w:r>
          </w:p>
        </w:tc>
        <w:tc>
          <w:tcPr>
            <w:tcW w:w="1728" w:type="dxa"/>
          </w:tcPr>
          <w:p w14:paraId="4A533778">
            <w:pPr>
              <w:spacing w:after="0" w:line="240" w:lineRule="auto"/>
            </w:pPr>
            <w:r>
              <w:t>36.4% (32.3%, 41.4%)</w:t>
            </w:r>
          </w:p>
        </w:tc>
        <w:tc>
          <w:tcPr>
            <w:tcW w:w="1728" w:type="dxa"/>
          </w:tcPr>
          <w:p w14:paraId="3A2EEB68">
            <w:pPr>
              <w:spacing w:after="0" w:line="240" w:lineRule="auto"/>
            </w:pPr>
            <w:r>
              <w:t>8.1倍</w:t>
            </w:r>
          </w:p>
        </w:tc>
      </w:tr>
      <w:tr w14:paraId="7F5F05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56F2E2A">
            <w:pPr>
              <w:spacing w:after="0" w:line="240" w:lineRule="auto"/>
            </w:pPr>
            <w:r>
              <w:t>10%</w:t>
            </w:r>
          </w:p>
        </w:tc>
        <w:tc>
          <w:tcPr>
            <w:tcW w:w="1728" w:type="dxa"/>
          </w:tcPr>
          <w:p w14:paraId="31414310">
            <w:pPr>
              <w:spacing w:after="0" w:line="240" w:lineRule="auto"/>
            </w:pPr>
            <w:r>
              <w:t>719</w:t>
            </w:r>
          </w:p>
        </w:tc>
        <w:tc>
          <w:tcPr>
            <w:tcW w:w="1728" w:type="dxa"/>
          </w:tcPr>
          <w:p w14:paraId="26F6CE47">
            <w:pPr>
              <w:spacing w:after="0" w:line="240" w:lineRule="auto"/>
            </w:pPr>
            <w:r>
              <w:t>324例中的158例</w:t>
            </w:r>
          </w:p>
        </w:tc>
        <w:tc>
          <w:tcPr>
            <w:tcW w:w="1728" w:type="dxa"/>
          </w:tcPr>
          <w:p w14:paraId="75448467">
            <w:pPr>
              <w:spacing w:after="0" w:line="240" w:lineRule="auto"/>
            </w:pPr>
            <w:r>
              <w:t>48.8% (43.8%, 54.0%)</w:t>
            </w:r>
          </w:p>
        </w:tc>
        <w:tc>
          <w:tcPr>
            <w:tcW w:w="1728" w:type="dxa"/>
          </w:tcPr>
          <w:p w14:paraId="6A90FF6E">
            <w:pPr>
              <w:spacing w:after="0" w:line="240" w:lineRule="auto"/>
            </w:pPr>
            <w:r>
              <w:t>10.8倍</w:t>
            </w:r>
          </w:p>
        </w:tc>
      </w:tr>
      <w:tr w14:paraId="09282B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6EE2CBB">
            <w:pPr>
              <w:spacing w:after="0" w:line="240" w:lineRule="auto"/>
            </w:pPr>
            <w:r>
              <w:t>20%</w:t>
            </w:r>
          </w:p>
        </w:tc>
        <w:tc>
          <w:tcPr>
            <w:tcW w:w="1728" w:type="dxa"/>
          </w:tcPr>
          <w:p w14:paraId="7E09FB75">
            <w:pPr>
              <w:spacing w:after="0" w:line="240" w:lineRule="auto"/>
            </w:pPr>
            <w:r>
              <w:t>1,437</w:t>
            </w:r>
          </w:p>
        </w:tc>
        <w:tc>
          <w:tcPr>
            <w:tcW w:w="1728" w:type="dxa"/>
          </w:tcPr>
          <w:p w14:paraId="0FC06845">
            <w:pPr>
              <w:spacing w:after="0" w:line="240" w:lineRule="auto"/>
            </w:pPr>
            <w:r>
              <w:t>324例中的219例</w:t>
            </w:r>
          </w:p>
        </w:tc>
        <w:tc>
          <w:tcPr>
            <w:tcW w:w="1728" w:type="dxa"/>
          </w:tcPr>
          <w:p w14:paraId="79373913">
            <w:pPr>
              <w:spacing w:after="0" w:line="240" w:lineRule="auto"/>
            </w:pPr>
            <w:r>
              <w:t>67.6% (62.3%, 72.2%)</w:t>
            </w:r>
          </w:p>
        </w:tc>
        <w:tc>
          <w:tcPr>
            <w:tcW w:w="1728" w:type="dxa"/>
          </w:tcPr>
          <w:p w14:paraId="437FA116">
            <w:pPr>
              <w:spacing w:after="0" w:line="240" w:lineRule="auto"/>
            </w:pPr>
            <w:r>
              <w:t>15.0倍</w:t>
            </w:r>
          </w:p>
        </w:tc>
      </w:tr>
    </w:tbl>
    <w:p w14:paraId="105AD79F">
      <w:r>
        <w:rPr>
          <w:b w:val="0"/>
          <w:i/>
          <w:sz w:val="18"/>
        </w:rPr>
        <w:t>表13. 风险分层捕获率与提升倍数，HistGB恶化分类器，测试集（n = 7,187，患病率4.5%，共324例真实恶化事件）。</w:t>
      </w:r>
    </w:p>
    <w:p w14:paraId="200B5B8A">
      <w:pPr>
        <w:pStyle w:val="3"/>
      </w:pPr>
      <w:r>
        <w:t>3.11 研究假设总体验证结果</w:t>
      </w:r>
    </w:p>
    <w:p w14:paraId="6EB9F79E">
      <w:r>
        <w:rPr>
          <w:b w:val="0"/>
          <w:i w:val="0"/>
        </w:rPr>
        <w:t>表14依据以上结果，对第1.3节提出的四个假设逐一给出结论，随后第4节将讨论其背后的机制。</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4C7E45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482478D">
            <w:pPr>
              <w:spacing w:after="0" w:line="240" w:lineRule="auto"/>
            </w:pPr>
            <w:r>
              <w:rPr>
                <w:b/>
              </w:rPr>
              <w:t>假设</w:t>
            </w:r>
          </w:p>
        </w:tc>
        <w:tc>
          <w:tcPr>
            <w:tcW w:w="2880" w:type="dxa"/>
          </w:tcPr>
          <w:p w14:paraId="1BE779BB">
            <w:pPr>
              <w:spacing w:after="0" w:line="240" w:lineRule="auto"/>
            </w:pPr>
            <w:r>
              <w:rPr>
                <w:b/>
              </w:rPr>
              <w:t>结论</w:t>
            </w:r>
          </w:p>
        </w:tc>
        <w:tc>
          <w:tcPr>
            <w:tcW w:w="2880" w:type="dxa"/>
          </w:tcPr>
          <w:p w14:paraId="4B4BE9C1">
            <w:pPr>
              <w:spacing w:after="0" w:line="240" w:lineRule="auto"/>
            </w:pPr>
            <w:r>
              <w:rPr>
                <w:b/>
              </w:rPr>
              <w:t>证据</w:t>
            </w:r>
          </w:p>
        </w:tc>
      </w:tr>
      <w:tr w14:paraId="7F64D7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DB05D4A">
            <w:pPr>
              <w:spacing w:after="0" w:line="240" w:lineRule="auto"/>
            </w:pPr>
            <w:r>
              <w:t>H1 —— 机器学习能为总SOFA评分提供超越持续性基线的额外信息</w:t>
            </w:r>
          </w:p>
        </w:tc>
        <w:tc>
          <w:tcPr>
            <w:tcW w:w="2880" w:type="dxa"/>
          </w:tcPr>
          <w:p w14:paraId="01AC4E22">
            <w:pPr>
              <w:spacing w:after="0" w:line="240" w:lineRule="auto"/>
            </w:pPr>
            <w:r>
              <w:t>成立</w:t>
            </w:r>
          </w:p>
        </w:tc>
        <w:tc>
          <w:tcPr>
            <w:tcW w:w="2880" w:type="dxa"/>
          </w:tcPr>
          <w:p w14:paraId="5DE1918E">
            <w:pPr>
              <w:spacing w:after="0" w:line="240" w:lineRule="auto"/>
            </w:pPr>
            <w:r>
              <w:t>五个模型族中有四个在全部4个时间点、两个数据划分上均优于持续性基线（表5）；序数模型每个时间点MAE均最低；增量值预测准确度（表10）证实了真实的轨迹追踪能力；风险分层捕获率（表13）表明对应分类器转化为了具体的、数量级意义上的实际价值，而不仅仅是统计学意义上的显著性。</w:t>
            </w:r>
          </w:p>
        </w:tc>
      </w:tr>
      <w:tr w14:paraId="6C4987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DE17B37">
            <w:pPr>
              <w:spacing w:after="0" w:line="240" w:lineRule="auto"/>
            </w:pPr>
            <w:r>
              <w:t>H2 —— 这种增益在各器官轴之间是异质分布的，而非均匀分布</w:t>
            </w:r>
          </w:p>
        </w:tc>
        <w:tc>
          <w:tcPr>
            <w:tcW w:w="2880" w:type="dxa"/>
          </w:tcPr>
          <w:p w14:paraId="22539D80">
            <w:pPr>
              <w:spacing w:after="0" w:line="240" w:lineRule="auto"/>
            </w:pPr>
            <w:r>
              <w:t>强烈成立，且机制已得到解释</w:t>
            </w:r>
          </w:p>
        </w:tc>
        <w:tc>
          <w:tcPr>
            <w:tcW w:w="2880" w:type="dxa"/>
          </w:tcPr>
          <w:p w14:paraId="65E34CE9">
            <w:pPr>
              <w:spacing w:after="0" w:line="240" w:lineRule="auto"/>
            </w:pPr>
            <w:r>
              <w:t>只有神经系统轴表现出明确的、跨时间点一致的改善（表6、表9）。表11解释了原因：神经系统是唯一同时具备高真实波动性与高测量频率的轴；其余每个轴都至少不满足这两个条件之一。表12进一步表明，心血管轴的失利有其独特的、数据造成的原因（第3.9节），并非其他轴所共有。</w:t>
            </w:r>
          </w:p>
        </w:tc>
      </w:tr>
      <w:tr w14:paraId="3D27E6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650A7A1">
            <w:pPr>
              <w:spacing w:after="0" w:line="240" w:lineRule="auto"/>
            </w:pPr>
            <w:r>
              <w:t>H3 —— 增量预测价值取决于目标表示方式，而不仅仅取决于非线性/复杂度</w:t>
            </w:r>
          </w:p>
        </w:tc>
        <w:tc>
          <w:tcPr>
            <w:tcW w:w="2880" w:type="dxa"/>
          </w:tcPr>
          <w:p w14:paraId="4D0D2AAD">
            <w:pPr>
              <w:spacing w:after="0" w:line="240" w:lineRule="auto"/>
            </w:pPr>
            <w:r>
              <w:t>成立</w:t>
            </w:r>
          </w:p>
        </w:tc>
        <w:tc>
          <w:tcPr>
            <w:tcW w:w="2880" w:type="dxa"/>
          </w:tcPr>
          <w:p w14:paraId="667BC8B4">
            <w:pPr>
              <w:spacing w:after="0" w:line="240" w:lineRule="auto"/>
            </w:pPr>
            <w:r>
              <w:t>纯线性基线（增量值目标）在4个时间点中的3个上输给持续性基线，说明相对于线性模型，非线性确实很重要。但目标表示方式的影响不止于此：一项受控消融实验（表8，第3.7节）表明，同一个基础学习器（HistGB）在预测绝对评分时表现反而劣于预测增量值——可见“更复杂”与“表示方式更优”并非同一个变量，序数模型的优势经受住了该消融实验的检验，而非被其解释掉。</w:t>
            </w:r>
          </w:p>
        </w:tc>
      </w:tr>
      <w:tr w14:paraId="175BDC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F9A9249">
            <w:pPr>
              <w:spacing w:after="0" w:line="240" w:lineRule="auto"/>
            </w:pPr>
            <w:r>
              <w:t>H4 —— 同样的信息能够区分具有临床意义的病情恶化</w:t>
            </w:r>
          </w:p>
        </w:tc>
        <w:tc>
          <w:tcPr>
            <w:tcW w:w="2880" w:type="dxa"/>
          </w:tcPr>
          <w:p w14:paraId="7260FAB2">
            <w:pPr>
              <w:spacing w:after="0" w:line="240" w:lineRule="auto"/>
            </w:pPr>
            <w:r>
              <w:t>在判别能力方面成立；在校准度方面尚未确立</w:t>
            </w:r>
          </w:p>
        </w:tc>
        <w:tc>
          <w:tcPr>
            <w:tcW w:w="2880" w:type="dxa"/>
          </w:tcPr>
          <w:p w14:paraId="08FE53EA">
            <w:pPr>
              <w:spacing w:after="0" w:line="240" w:lineRule="auto"/>
            </w:pPr>
            <w:r>
              <w:t>每个分类器变体的AUROC均为0.78-0.84，AUPRC为无技能基准的4-7倍（表7），但最高风险十分位的预测概率（0.70）远高于其实际观察到的比例（0.22）——第3.5节——因此这些分类器能很好地对风险进行排序，但其原始概率尚不能被信任为百分比数值；表13的捕获率是一种基于排序的价值度量，不受这种校准偏差的影响。</w:t>
            </w:r>
          </w:p>
        </w:tc>
      </w:tr>
    </w:tbl>
    <w:p w14:paraId="203DE95C">
      <w:r>
        <w:rPr>
          <w:b w:val="0"/>
          <w:i/>
          <w:sz w:val="18"/>
        </w:rPr>
        <w:t>表14. 针对第1.3节预先设定的每个假设给出的结论，依据表5-13的证据。</w:t>
      </w:r>
    </w:p>
    <w:p w14:paraId="7F1F3967">
      <w:r>
        <w:br w:type="page"/>
      </w:r>
    </w:p>
    <w:p w14:paraId="32CDFC46">
      <w:pPr>
        <w:pStyle w:val="2"/>
      </w:pPr>
      <w:r>
        <w:t>4. 讨论</w:t>
      </w:r>
    </w:p>
    <w:p w14:paraId="6A64E69F">
      <w:pPr>
        <w:pStyle w:val="3"/>
      </w:pPr>
      <w:r>
        <w:t>4.1 研究定位：一项增量价值与归因研究</w:t>
      </w:r>
    </w:p>
    <w:p w14:paraId="6CC68336">
      <w:r>
        <w:rPr>
          <w:b w:val="0"/>
          <w:i w:val="0"/>
        </w:rPr>
        <w:t>本研究并未提出新的模型架构，五个模型族的比较本身也并非研究贡献所在——审阅者完全可以合理地问，五个MAE数字究竟有什么意义。真正的贡献是表14针对H1-H2给出的答案：持续性基线对这一任务而言是一个强健的、非平凡的基线，机器学习总体上确实能在其之上提供额外信息，且这种额外信息集中于一个器官轴，而非在全部六个轴上均匀分布。确定预测价值存在于何处——同样重要的是，不存在于何处（第4.4节）——这本身就是研究发现，与具体使用了哪一种梯度提升树引擎来展示这一点无关。同样，TRIPOD+AI合规性（Collins 等，2024）是本工作在报告方式上的一种属性，而非其本身构成的科学贡献。</w:t>
      </w:r>
    </w:p>
    <w:p w14:paraId="5E2BF91E">
      <w:r>
        <w:rPr>
          <w:b w:val="0"/>
          <w:i w:val="0"/>
        </w:rPr>
        <w:t>这项研究究竟有什么具体帮助？表13给出的答案有意保持谦逊但足够具体：仅凭恶化分类器预测概率标记出风险最高的10%（患者、决策时间点）检查点，就能捕获测试集中全部真实恶化事件的48.8%——效率大约是随机标记10%检查点的11倍。这并不是声称该模型应当用于指导临床决策，也不是声称它已经过针对该用途的验证（第4.6节）——而是一个量化的陈述，说明利用这一信号，原则上能让一份固定的监护或病历复查预算被更高效地投放，而不是对每个检查点一视同仁。这正是本文摘要中“超越持续性基线的增量价值”这一说法在实践中的具体体现。</w:t>
      </w:r>
    </w:p>
    <w:p w14:paraId="1B961497">
      <w:pPr>
        <w:pStyle w:val="3"/>
      </w:pPr>
      <w:r>
        <w:t>4.2 主要发现</w:t>
      </w:r>
    </w:p>
    <w:p w14:paraId="3FDB9F45">
      <w:r>
        <w:rPr>
          <w:b w:val="0"/>
          <w:i w:val="0"/>
        </w:rPr>
        <w:t>在所测试的全部四个时间点上，五个模型族中有四个在使用常规采集的生命体征与实验室数据预测六小时后总SOFA评分时，均明显优于朴素的持续性假设。在所测试的各种建模形式中，序数分解（Frank &amp; Hall, 2001）在每个时间点的总SOFA MAE均最低——即便在一项受控消融实验（第3.7节）排除了“这仅仅反映预测绝对值而非增量值”这一明显的混杂因素之后，而非序数分解本身的效应，依然如此。这是一项真正有用的实证结果，而非仅仅是理论上的偏好，尽管该分解方法具体通过何种机制发挥作用，本文并未做进一步分离（第4.3节）。唯一一个在首个时间点之后就未能维持优势的模型族是纯线性基线，这本身也是一项有价值的信息：它说明非线性模型族增加的复杂度确实物有所值，而非不必要的花哨。</w:t>
      </w:r>
    </w:p>
    <w:p w14:paraId="412A2829">
      <w:pPr>
        <w:pStyle w:val="3"/>
      </w:pPr>
      <w:r>
        <w:t>4.3 为何序数分解能够获胜？</w:t>
      </w:r>
    </w:p>
    <w:p w14:paraId="106520E0">
      <w:r>
        <w:rPr>
          <w:b w:val="0"/>
          <w:i w:val="0"/>
        </w:rPr>
        <w:t>有两种特性可能解释序数模型族的优势：（一）它直接预测绝对目标评分，而非像其余四个模型族那样借助增量值这一中间步骤，因此不必经由一个自身带有噪声、之后还要加回 SOFA_now 的中间量；（二）将一个0-4的序数结局分解为四个二元问题——“该患者是否已经跨过阈值k”——让每个阈值分类器都能专注于自己的子任务，而不是要求一个回归器在整个取值范围内拟合出单一连续函数。这两者并非同一个论断，将它们混为一谈是本报告初稿未能完全避免的一个真实风险：HistGB、线性模型、CatBoost 与 LightGBM 都预测增量值，而序数模型同时兼具“直接预测绝对值”与“使用累积二分类分解”这两个特点，因此仅凭五个模型族的主要比较结果，无法区分（一）与（二）各自的贡献。</w:t>
      </w:r>
    </w:p>
    <w:p w14:paraId="1F139250">
      <w:r>
        <w:rPr>
          <w:b w:val="0"/>
          <w:i w:val="0"/>
        </w:rPr>
        <w:t>第3.7节的消融实验直接解决了这个问题。如果解释（一）单独就能说明序数模型的优势，那么把一个普通的HistGB回归器重新定向为预测绝对评分（histgb+绝对值）应当能够大幅缩小与序数模型的差距。但事实并非如此：histgb+绝对值 在每一个时间点、每一个轴上都劣于 histgb+增量值（表8-9），而非更优。对一个普通回归器而言，直接预测绝对目标反而是更困难的回归问题——一个合理的解释是，增量值的分布更集中于零附近（大多数六小时窗口内真实变化很小），普通回归器更容易利用这一点，而绝对评分的取值范围更宽。因此，序数模型的优势经受住了对解释（一）的直接检验，应归因于解释（二）——累积二分类分解本身——而非它恰好也预测了绝对评分这一事实。这一机制并非梯度提升树这一基础学习器所独有，只是本项目仅用这一种基础学习器测试了该分解方法（第4.7节，未来工作）。</w:t>
      </w:r>
    </w:p>
    <w:p w14:paraId="02C8A6FC">
      <w:pPr>
        <w:pStyle w:val="3"/>
      </w:pPr>
      <w:r>
        <w:t>4.4 为何改善集中于神经系统轴</w:t>
      </w:r>
    </w:p>
    <w:p w14:paraId="69E9A22C">
      <w:r>
        <w:rPr>
          <w:b w:val="0"/>
          <w:i w:val="0"/>
        </w:rPr>
        <w:t>第3.3节的发现——持续性基线在六个轴中的五个上都与训练模型旗鼓相当甚至更优，总评分的改善几乎全部由神经系统轴贡献——取代了此前记录在notebook讨论部分中的、一种不够精确的表述，即认为“神经、肾脏与凝血”三个轴均表现出实质性的改善；表6中按时间点平均后的数据并不支持肾脏或凝血轴的这一说法，本报告的数字应被视为修正后的正确版本。</w:t>
      </w:r>
    </w:p>
    <w:p w14:paraId="408DC865">
      <w:r>
        <w:rPr>
          <w:b w:val="0"/>
          <w:i w:val="0"/>
        </w:rPr>
        <w:t>表11（第3.8节）从结局一侧而非模型一侧，对这一机制给出了决定性的解释：这是一个联合条件，而非任何单一因素。先分别检验了两个候选解释，均不能单独成立：</w:t>
      </w:r>
    </w:p>
    <w:p w14:paraId="297DBC63">
      <w:pPr>
        <w:pStyle w:val="23"/>
      </w:pPr>
      <w:r>
        <w:t>测量频率单独并不充分。神经系统轴在98.2%的行中有测量值——与心血管（98.3%）和肾脏（98.5%）在统计意义上无法区分，而后二者均未能优于持续性基线。测量频繁显然是必要条件，但单靠它并不充分。</w:t>
      </w:r>
    </w:p>
    <w:p w14:paraId="2499BEED">
      <w:pPr>
        <w:pStyle w:val="23"/>
      </w:pPr>
      <w:r>
        <w:t>真实波动性单独也不充分。呼吸轴的真实六小时波动性与神经系统几乎完全相同（增量值标准差0.571对0.764；零变化窗口比例81.2%对81.3%）——确实具有真实波动性，但呼吸轴并未能优于持续性基线。</w:t>
      </w:r>
    </w:p>
    <w:p w14:paraId="0DD8CC49">
      <w:r>
        <w:rPr>
          <w:b w:val="0"/>
          <w:i w:val="0"/>
        </w:rPr>
        <w:t>表11表明，这两个条件必须同时成立，而神经系统是唯一同时满足二者的轴。呼吸轴具备波动性，却不具备测量频率（仅45.7%的行有测量值），因此原则上存在模型可以学习的真实信号，但没有足够可靠的训练数据供其学习。肾脏、凝血与心血管具备测量频率，却不具备波动性（91.8-93.4%的窗口显示零真实变化）——对任何模型而言，无论其质量如何，能在“假设无变化”之上添加的内容都非常有限。肝脏轴同时不满足这两个条件（97.0%零变化，仅40.2%有测量值），因此毫不意外地成为持续性基线以最大相对优势获胜的轴。这将测量频率的角色，从此前分析中一个已被“排除”的解释，重新定位为正确联合解释中的一半。</w:t>
      </w:r>
    </w:p>
    <w:p w14:paraId="54B22C2F">
      <w:r>
        <w:rPr>
          <w:b w:val="0"/>
          <w:i w:val="0"/>
        </w:rPr>
        <w:t>第二条相互印证的证据，同样由主力模型族已经计算得出、无需任何新的训练，是各轴的置换重要性表（notebook单元格 `sf39`）。对于神经系统轴，重要性分布在多个真正不同的、源自格拉斯哥昏迷评分（GCS）的特征上——当前值（`v_GCS_last`，重要性0.198）、窗口均值（0.169）、窗口标准差（0.134，即波动性本身就携带信号）、首值与12小时斜率（0.058、0.052）——加上机械通气与血气时间特征，二者合计的重要性大致与当前 SOFA_now 锚点特征本身（0.924）相当。相比之下，对于肾脏与心血管轴，重要性高度集中在一两个当前状态特征上，且下降非常陡峭：肾脏轴的 SOFA_now 锚点（4.171）与最近一次肌酐值（2.305）远超其余所有特征（均低于0.09）；心血管轴的 SOFA_now 锚点（0.591）与一个血压阈值特征（0.247）同样占据主导。这与表11的波动性发现相互印证，并给出了一种特征层面的机制解释：神经系统模型确实拥有可供利用的窗口内轨迹信息，并加以利用；而肾脏与心血管模型实际上学到的，是一个更精细版本的持续性假设本身，因为在一个低波动性的目标上，几乎没有其他内容可供学习。</w:t>
      </w:r>
    </w:p>
    <w:p w14:paraId="09D923ED">
      <w:pPr>
        <w:pStyle w:val="3"/>
      </w:pPr>
      <w:r>
        <w:t>4.5 心血管轴的能力上限</w:t>
      </w:r>
    </w:p>
    <w:p w14:paraId="1E341CC1">
      <w:r>
        <w:rPr>
          <w:b w:val="0"/>
          <w:i w:val="0"/>
        </w:rPr>
        <w:t>正如预期（第1.2节），心血管轴是任何训练模型族相对于持续性基线表现最差的轴（表6）——每个模型族在该轴上的平均MAE都比持续性基线高出约50%。表12（第3.9节）直接、定量地确认了缺失的血管加压药/正性肌力药数据正是罪魁祸首：`data_prep/scoring.py::cardio_score` 的代码注释本身即写明“2-4分不可达：无血管加压药数据”，实证结果也证实了这一点——100%有测量值的心血管评分确实均为0或1——无论模型质量多高，都无法从一个只能取两个值的目标中提取出超过一个二元区分所能承载的信息量。这是数据集本身的属性，而非建模方法的缺陷，在获得用药数据之前也不预期会有所改善（第4.7节）。</w:t>
      </w:r>
    </w:p>
    <w:p w14:paraId="19A219B9">
      <w:r>
        <w:rPr>
          <w:b w:val="0"/>
          <w:i w:val="0"/>
        </w:rPr>
        <w:t>需要精确说明这一发现能解释什么、不能解释什么。它是心血管轴单独的、有据可查的具体机制——并非解释为何持续性基线在六轴中的五个上占优的普遍性原因（第4.4节）。肾脏与凝血轴并不受任何数据缺失上限的约束（表12显示肾脏轴覆盖了其完整的0-4临床评分范围），它们输给持续性基线完全是出于另一种原因：真实的、缓慢的生理变化，与第4.4节相同的波动性论证，而非数据限制所致。若将“缺失心血管数据”当作本文更广泛的轴间异质性发现的解释，将会把一个真实存在但仅限于该轴的局限性夸大为一个普遍性的结论。</w:t>
      </w:r>
    </w:p>
    <w:p w14:paraId="35B9C0B5">
      <w:pPr>
        <w:pStyle w:val="3"/>
      </w:pPr>
      <w:r>
        <w:t>4.6 局限性</w:t>
      </w:r>
    </w:p>
    <w:p w14:paraId="5B9FC426">
      <w:pPr>
        <w:pStyle w:val="23"/>
      </w:pPr>
      <w:r>
        <w:t>仅为单中心、单一年代的内部验证；未曾在不同医院、不同ICU人群或不同年代的数据上进行外部验证。</w:t>
      </w:r>
    </w:p>
    <w:p w14:paraId="357FE846">
      <w:pPr>
        <w:pStyle w:val="23"/>
      </w:pPr>
      <w:r>
        <w:t>本项目中心血管评分在任何地方都不能超过1；包括表5中的总SOFA数值在内，所有下游数字都继承了这一上限。</w:t>
      </w:r>
    </w:p>
    <w:p w14:paraId="205D50B9">
      <w:pPr>
        <w:pStyle w:val="23"/>
      </w:pPr>
      <w:r>
        <w:t>目标窗口24小时中有18小时在预测时刻已经被观测到，因此所有报告的MAE都包含很大一部分“未发生变化”的成分；增量值数据（本摘要报告中未重复列出，详见notebook）能更精确地分离出真正可预测的部分。</w:t>
      </w:r>
    </w:p>
    <w:p w14:paraId="08102607">
      <w:pPr>
        <w:pStyle w:val="23"/>
      </w:pPr>
      <w:r>
        <w:t>恶化结局较为罕见（约4%）；分类器性能估计的精度相应较低（见表7的置信区间宽度），且四个分类器在绝对概率层面均未能良好校准（第3.5节）。</w:t>
      </w:r>
    </w:p>
    <w:p w14:paraId="7F21D7D5">
      <w:pPr>
        <w:pStyle w:val="23"/>
      </w:pPr>
      <w:r>
        <w:t>序数模型族的优势是在每个模型族都适用的、相同的当前值缺失回退机制（第2.9节）下测得的；其分类器原则上可以在某轴当前状态评分缺失时，依然从间接证据中猜测出一个非零评分，但本报告的主要比较并未启用这一能力，因此序数模型真实的相对优势，在本文中很可能被低估而非高估。</w:t>
      </w:r>
    </w:p>
    <w:p w14:paraId="15BADCE3">
      <w:pPr>
        <w:pStyle w:val="23"/>
      </w:pPr>
      <w:r>
        <w:t>尚未进行按年龄或性别分层的正式公平性指标评估；一旦同时按年龄段与性别分层，该队列的规模可能不足以支持稳定的亚组估计。</w:t>
      </w:r>
    </w:p>
    <w:p w14:paraId="7C177B96">
      <w:pPr>
        <w:pStyle w:val="23"/>
      </w:pPr>
      <w:r>
        <w:t>去标识化数据中不存在入组日期，因此无法评估时间趋势或季节性影响。</w:t>
      </w:r>
    </w:p>
    <w:p w14:paraId="5BDF1534">
      <w:pPr>
        <w:pStyle w:val="3"/>
      </w:pPr>
      <w:r>
        <w:t>4.7 未来工作</w:t>
      </w:r>
    </w:p>
    <w:p w14:paraId="22E812AA">
      <w:pPr>
        <w:pStyle w:val="29"/>
      </w:pPr>
      <w:r>
        <w:t>一种按病例（而非按总体合并）的波动性度量——例如，患者自身近期的神经系统波动性是否能预测其自身轨迹具体的可预测程度——将表11的总体层面发现拓展为个体化的不确定性估计。</w:t>
      </w:r>
    </w:p>
    <w:p w14:paraId="3B5DBB32">
      <w:pPr>
        <w:pStyle w:val="29"/>
      </w:pPr>
      <w:r>
        <w:t>在不同ICU人群或不同年代的数据上进行外部验证。</w:t>
      </w:r>
    </w:p>
    <w:p w14:paraId="380540F9">
      <w:pPr>
        <w:pStyle w:val="29"/>
      </w:pPr>
      <w:r>
        <w:t>如果未来能为该队列或可比队列获取真实的血管加压药/正性肌力药数据，将其纳入模型，以真正解决心血管轴的问题。</w:t>
      </w:r>
    </w:p>
    <w:p w14:paraId="566BA457">
      <w:pPr>
        <w:pStyle w:val="29"/>
      </w:pPr>
      <w:r>
        <w:t>待队列规模足够支持稳定的亚组估计后，进行按年龄与性别分层的公平性审计。</w:t>
      </w:r>
    </w:p>
    <w:p w14:paraId="44AA1059">
      <w:pPr>
        <w:pStyle w:val="29"/>
      </w:pPr>
      <w:r>
        <w:t>在将恶化分类器的原始概率输出用作风险百分比之前，先对其进行重新校准（Platt缩放或等渗回归）。</w:t>
      </w:r>
    </w:p>
    <w:p w14:paraId="5670C026">
      <w:pPr>
        <w:pStyle w:val="29"/>
      </w:pPr>
      <w:r>
        <w:t>重新运行一次不采用当前值缺失回退机制的序数模型消融实验，以量化其“从间接证据中进行预测”这一能力本身的价值。</w:t>
      </w:r>
    </w:p>
    <w:p w14:paraId="30BC212D">
      <w:pPr>
        <w:pStyle w:val="29"/>
      </w:pPr>
      <w:r>
        <w:t>为序数分解方法的四个阈值之间加入显式的单调性约束（当前实现中未强制执行此约束）。</w:t>
      </w:r>
    </w:p>
    <w:p w14:paraId="72F15EA2">
      <w:pPr>
        <w:pStyle w:val="29"/>
      </w:pPr>
      <w:r>
        <w:t>尝试一种轻度正则化或具有特征交互能力的线性变体，以判断纯线性基线在h24之后输给持续性基线，究竟是线性模型这一类方法的普遍属性，还是仅仅是本文所用特定Ridge配置的问题。</w:t>
      </w:r>
    </w:p>
    <w:p w14:paraId="7667A4B3">
      <w:pPr>
        <w:pStyle w:val="29"/>
      </w:pPr>
      <w:r>
        <w:t>将数据集自带的 outcomes.csv 与本项目自有特征集进行消融比较（是否加入心血管状态的工程化代理特征）——表12已经从评分上限机制的角度直接量化了心血管轴的信息上限；这一仍待开展的消融实验将检验常规采集的生命体征本身，除了二元评分已经捕获的信息之外，是否还存在任何间接反映升压药使用情况的代理信号。</w:t>
      </w:r>
    </w:p>
    <w:p w14:paraId="2D01D312">
      <w:pPr>
        <w:pStyle w:val="29"/>
      </w:pPr>
      <w:r>
        <w:t>一项前瞻性研究，检验按风险分层的监护策略（第4.1节，表13）是否会改变实际的临床决策或结局——目前的捕获率分析是回顾性的，只证明了排序层面的价值，并未证明临床实用性。</w:t>
      </w:r>
    </w:p>
    <w:p w14:paraId="3C99B945">
      <w:r>
        <w:br w:type="page"/>
      </w:r>
    </w:p>
    <w:p w14:paraId="189C37D5">
      <w:pPr>
        <w:pStyle w:val="2"/>
      </w:pPr>
      <w:r>
        <w:t>5. 结论</w:t>
      </w:r>
    </w:p>
    <w:p w14:paraId="012DECFE">
      <w:r>
        <w:rPr>
          <w:b w:val="0"/>
          <w:i w:val="0"/>
        </w:rPr>
        <w:t>回到第1.3节提出的问题：短时程机器学习预测滚动SOFA评分，确实能在持续性基线之上提供额外信息（H1成立），但这种额外价值集中于一个器官轴，而非在全部六个轴上均匀分布（H2成立）——这是本研究最核心、也最容易被忽视的发现（表14）。</w:t>
      </w:r>
    </w:p>
    <w:p w14:paraId="3B566947">
      <w:r>
        <w:rPr>
          <w:b w:val="0"/>
          <w:i w:val="0"/>
        </w:rPr>
        <w:t>仅凭常规可获得的生理与实验室测量数据及其衍生特征，无需任何用药数据，即可实现六小时后滚动SOFA评分的预测，并明显优于“无变化”的朴素假设；在本文所测试的各种建模形式中，序数分解取得了最低的误差，一项受控消融实验表明，这一结果并非仅仅是“预测绝对评分而非增量值”所致的假象。这种增益在各器官系统间并不均匀：几乎全部来自神经系统轴，而心血管轴则因可用数据中存在的真实缺口——而非建模方法本身的缺陷——而受到根本性的制约。次要的恶化分类器展现出真实的、具有临床意义的判别能力，但其输出在被当作字面概率使用之前需要重新校准。这两项发现——预测能力集中于单一轴，以及“判别能力良好但校准欠佳”的分类器——都不可能从一个单一的整体准确度数字中显现出来，这凸显了本项目自始至终采用的六轴分解建模，以及区分判别能力与校准度这两种做法的价值。</w:t>
      </w:r>
    </w:p>
    <w:p w14:paraId="353212EC">
      <w:pPr>
        <w:pStyle w:val="2"/>
      </w:pPr>
      <w:r>
        <w:t>参考文献</w:t>
      </w:r>
    </w:p>
    <w:p w14:paraId="254E9051">
      <w:r>
        <w:rPr>
          <w:b w:val="0"/>
          <w:i w:val="0"/>
        </w:rPr>
        <w:t>Collins GS, Moons KGM, Dhiman P, et al. TRIPOD+AI statement: updated guidance for reporting clinical prediction models that use regression or machine learning methods. BMJ. 2024;385:e078378.</w:t>
      </w:r>
    </w:p>
    <w:p w14:paraId="6CF63CA3">
      <w:r>
        <w:rPr>
          <w:b w:val="0"/>
          <w:i w:val="0"/>
        </w:rPr>
        <w:t>Frank E, Hall M. A simple approach to ordinal classification. In: Proceedings of the 12th European Conference on Machine Learning (ECML 2001). Springer; 2001:145-156.</w:t>
      </w:r>
    </w:p>
    <w:p w14:paraId="65611C22">
      <w:r>
        <w:rPr>
          <w:b w:val="0"/>
          <w:i w:val="0"/>
        </w:rPr>
        <w:t>Saito T, Rehmsmeier M. The precision-recall plot is more informative than the ROC plot when evaluating binary classifiers on imbalanced datasets. PLOS ONE. 2015;10(3):e0118432.</w:t>
      </w:r>
    </w:p>
    <w:p w14:paraId="7EB9E30E">
      <w:r>
        <w:rPr>
          <w:b w:val="0"/>
          <w:i w:val="0"/>
        </w:rPr>
        <w:t>Silva I, Moody G, Scott DJ, Celi LA, Mark RG. Predicting in-hospital mortality of ICU patients: the PhysioNet/Computing in Cardiology Challenge 2012. Comput Cardiol. 2012;39:245-248.</w:t>
      </w:r>
    </w:p>
    <w:p w14:paraId="374BA9FA">
      <w:r>
        <w:rPr>
          <w:b w:val="0"/>
          <w:i w:val="0"/>
        </w:rPr>
        <w:t>Vincent JL, Moreno R, Takala J, et al. The SOFA (Sepsis-related Organ Failure Assessment) score to describe organ dysfunction/failure. Intensive Care Med. 1996;22(7):707-710.</w:t>
      </w:r>
    </w:p>
    <w:p w14:paraId="57048A9B">
      <w:pPr>
        <w:pStyle w:val="2"/>
      </w:pPr>
      <w:r>
        <w:t>数据与代码可获取性</w:t>
      </w:r>
    </w:p>
    <w:p w14:paraId="2195630E">
      <w:r>
        <w:rPr>
          <w:b w:val="0"/>
          <w:i w:val="0"/>
        </w:rPr>
        <w:t>数据：PhysioNet/Computing in Cardiology 2012挑战赛，Set A（公开数据，physionet.org）。代码：github.com/398-21/healthcare-ai-assin，包括modeling/data_prep/、modeling/models/（ordinal.py、linear.py、histgb.py、histgb_absolute.py —— 即第2.10节的消融实验模块、catboost_model.py、lightgbm_model.py）、modeling/evaluate.py，以及本报告所依据的、已完整执行的notebook：modeling/sofa_forecasting.ipynb。</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657A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Microsoft YaHei" w:hAnsi="Microsoft YaHei" w:eastAsia="Microsoft YaHei"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16668</Words>
  <Characters>21573</Characters>
  <Lines>0</Lines>
  <Paragraphs>0</Paragraphs>
  <TotalTime>48</TotalTime>
  <ScaleCrop>false</ScaleCrop>
  <LinksUpToDate>false</LinksUpToDate>
  <CharactersWithSpaces>22136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pan shengxin</cp:lastModifiedBy>
  <dcterms:modified xsi:type="dcterms:W3CDTF">2026-09-21T06:28:46Z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eyJoZGlkIjoiMjk4YTg5YWM3M2I5ZDI1ZmQ2OGYwYWQ3M2I0OWFlYzkifQ==</vt:lpwstr>
  </property>
  <property fmtid="{D5CDD505-2E9C-101B-9397-08002B2CF9AE}" pid="3" name="KSOProductBuildVer">
    <vt:lpwstr>1033-12.1.0.28485</vt:lpwstr>
  </property>
  <property fmtid="{D5CDD505-2E9C-101B-9397-08002B2CF9AE}" pid="4" name="ICV">
    <vt:lpwstr>46A6587BC0034627A16C28FADE62793B_12</vt:lpwstr>
  </property>
</Properties>
</file>