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33432">
      <w:pPr>
        <w:spacing w:after="260"/>
        <w:jc w:val="center"/>
        <w:rPr>
          <w:rFonts w:hint="eastAsia"/>
        </w:rPr>
      </w:pPr>
      <w:r>
        <w:rPr>
          <w:b/>
          <w:sz w:val="42"/>
        </w:rPr>
        <w:t>PhysioNet Challenge 2012 数据集的 SOFA 计算</w:t>
      </w:r>
    </w:p>
    <w:p w14:paraId="5D1623A6">
      <w:pPr>
        <w:pStyle w:val="3"/>
      </w:pPr>
      <w:r>
        <w:t>一 计算方法</w:t>
      </w:r>
    </w:p>
    <w:p w14:paraId="35628E11">
      <w:pPr>
        <w:pStyle w:val="14"/>
        <w:spacing w:after="80" w:line="288" w:lineRule="auto"/>
        <w:rPr>
          <w:rFonts w:hint="eastAsia"/>
          <w:lang w:eastAsia="zh-CN"/>
        </w:rPr>
      </w:pPr>
      <w:r>
        <w:rPr>
          <w:sz w:val="20"/>
          <w:lang w:eastAsia="zh-CN"/>
        </w:rPr>
        <w:t>把前 48 小时分成两个独立窗口：Day 1 为 0 至不足 24 小时，Day 2 为 24 至不足 48 小时。</w:t>
      </w:r>
    </w:p>
    <w:p w14:paraId="20F0F832">
      <w:pPr>
        <w:pStyle w:val="14"/>
        <w:spacing w:after="80" w:line="288" w:lineRule="auto"/>
        <w:rPr>
          <w:rFonts w:hint="eastAsia"/>
          <w:lang w:eastAsia="zh-CN"/>
        </w:rPr>
      </w:pPr>
      <w:r>
        <w:rPr>
          <w:sz w:val="20"/>
          <w:lang w:eastAsia="zh-CN"/>
        </w:rPr>
        <w:t>在每个 24 小时窗口内，六个器官系统分别寻找自己的最差状态。六项可以来自不同时间，不需要是同一次测量。</w:t>
      </w:r>
    </w:p>
    <w:p w14:paraId="576E5DB8">
      <w:pPr>
        <w:pStyle w:val="14"/>
        <w:spacing w:after="80" w:line="288" w:lineRule="auto"/>
        <w:rPr>
          <w:rFonts w:hint="eastAsia"/>
          <w:lang w:eastAsia="zh-CN"/>
        </w:rPr>
      </w:pPr>
      <w:r>
        <w:rPr>
          <w:sz w:val="20"/>
          <w:lang w:eastAsia="zh-CN"/>
        </w:rPr>
        <w:t>按照评分表把每个系统换算为 0 至 4 分，再把六项相加。</w:t>
      </w:r>
    </w:p>
    <w:p w14:paraId="400E4797">
      <w:pPr>
        <w:pStyle w:val="14"/>
        <w:spacing w:after="80" w:line="288" w:lineRule="auto"/>
        <w:rPr>
          <w:rFonts w:hint="eastAsia"/>
        </w:rPr>
      </w:pPr>
      <w:r>
        <w:rPr>
          <w:sz w:val="20"/>
        </w:rPr>
        <w:t>同时保留 Day 1 和 Day 2 总分。前 48 小时最高 SOFA 取两者较大值；与现有 outcomes.SOFA 对照时，另行报告 Day 1，因为本次试算中 Day 1 与标签更接近。</w:t>
      </w:r>
    </w:p>
    <w:p w14:paraId="7EDD4D55">
      <w:pPr>
        <w:spacing w:before="120" w:after="12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SOFA(day) = 呼吸 + 凝血 + 肝脏 + 心血管 + 神经 + 肾脏</m:t>
          </m:r>
        </m:oMath>
      </m:oMathPara>
    </w:p>
    <w:p w14:paraId="0AECC226">
      <w:pPr>
        <w:pStyle w:val="3"/>
      </w:pPr>
      <w:r>
        <w:t>二 数据字段怎么用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2880"/>
        <w:gridCol w:w="5904"/>
      </w:tblGrid>
      <w:tr w14:paraId="391EDB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0E07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系统</w:t>
            </w:r>
          </w:p>
        </w:tc>
        <w:tc>
          <w:tcPr>
            <w:tcW w:w="288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09CC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数据字段</w:t>
            </w:r>
          </w:p>
        </w:tc>
        <w:tc>
          <w:tcPr>
            <w:tcW w:w="590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AA2A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窗口内取值</w:t>
            </w:r>
          </w:p>
        </w:tc>
      </w:tr>
      <w:tr w14:paraId="314A44D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E066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呼吸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7B92A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PaO2 FiO2 MechVent</w:t>
            </w:r>
          </w:p>
        </w:tc>
        <w:tc>
          <w:tcPr>
            <w:tcW w:w="59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758E5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计算 PaO2/FiO2，取最低比值对应的最高分</w:t>
            </w:r>
          </w:p>
        </w:tc>
      </w:tr>
      <w:tr w14:paraId="044E8B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F214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凝血</w:t>
            </w:r>
          </w:p>
        </w:tc>
        <w:tc>
          <w:tcPr>
            <w:tcW w:w="288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B82D8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Platelets</w:t>
            </w:r>
          </w:p>
        </w:tc>
        <w:tc>
          <w:tcPr>
            <w:tcW w:w="590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77634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取最低值</w:t>
            </w:r>
          </w:p>
        </w:tc>
      </w:tr>
      <w:tr w14:paraId="0CAA63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0223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肝脏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D79B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Bilirubin</w:t>
            </w:r>
          </w:p>
        </w:tc>
        <w:tc>
          <w:tcPr>
            <w:tcW w:w="59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722962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取最高值</w:t>
            </w:r>
          </w:p>
        </w:tc>
      </w:tr>
      <w:tr w14:paraId="4CEA95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F69F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心血管</w:t>
            </w:r>
          </w:p>
        </w:tc>
        <w:tc>
          <w:tcPr>
            <w:tcW w:w="288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20EE4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MAP，缺少升压药剂量</w:t>
            </w:r>
          </w:p>
        </w:tc>
        <w:tc>
          <w:tcPr>
            <w:tcW w:w="590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1FD99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取最低 MAP；本数据只能可靠计算 0 或 1 分</w:t>
            </w:r>
          </w:p>
        </w:tc>
      </w:tr>
      <w:tr w14:paraId="18A0D1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83E8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神经</w:t>
            </w:r>
          </w:p>
        </w:tc>
        <w:tc>
          <w:tcPr>
            <w:tcW w:w="28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4CA45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GCS</w:t>
            </w:r>
          </w:p>
        </w:tc>
        <w:tc>
          <w:tcPr>
            <w:tcW w:w="59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07623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取最低值</w:t>
            </w:r>
          </w:p>
        </w:tc>
      </w:tr>
      <w:tr w14:paraId="23F1F9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6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6570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肾脏</w:t>
            </w:r>
          </w:p>
        </w:tc>
        <w:tc>
          <w:tcPr>
            <w:tcW w:w="288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50C44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Creatinine Urine</w:t>
            </w:r>
          </w:p>
        </w:tc>
        <w:tc>
          <w:tcPr>
            <w:tcW w:w="590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4886A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肌酐取最高值；尿量取 24 小时总量；两者取高分</w:t>
            </w:r>
          </w:p>
        </w:tc>
      </w:tr>
    </w:tbl>
    <w:p w14:paraId="1505A598">
      <w:pPr>
        <w:rPr>
          <w:rFonts w:hint="eastAsia"/>
          <w:lang w:eastAsia="zh-CN"/>
        </w:rPr>
      </w:pPr>
    </w:p>
    <w:p w14:paraId="14AE6FF8">
      <w:pPr>
        <w:pStyle w:val="3"/>
        <w:rPr>
          <w:lang w:eastAsia="zh-CN"/>
        </w:rPr>
      </w:pPr>
      <w:r>
        <w:rPr>
          <w:lang w:eastAsia="zh-CN"/>
        </w:rPr>
        <w:t>三 完整评分表</w:t>
      </w:r>
    </w:p>
    <w:p w14:paraId="030A35F8">
      <w:pPr>
        <w:spacing w:line="300" w:lineRule="auto"/>
        <w:ind w:firstLine="420"/>
        <w:rPr>
          <w:rFonts w:hint="eastAsia"/>
          <w:lang w:eastAsia="zh-CN"/>
        </w:rPr>
      </w:pPr>
      <w:r>
        <w:rPr>
          <w:lang w:eastAsia="zh-CN"/>
        </w:rPr>
        <w:t>先在一个 24 小时窗口内找到每个系统的最差值，再按下表计分。各系统权重相同，都是 0 至 4 分。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1469"/>
        <w:gridCol w:w="1541"/>
        <w:gridCol w:w="1757"/>
        <w:gridCol w:w="2333"/>
        <w:gridCol w:w="2333"/>
      </w:tblGrid>
      <w:tr w14:paraId="790E202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cantSplit/>
          <w:tblHeader/>
          <w:jc w:val="center"/>
        </w:trPr>
        <w:tc>
          <w:tcPr>
            <w:tcW w:w="193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5196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系统及指标</w:t>
            </w:r>
          </w:p>
        </w:tc>
        <w:tc>
          <w:tcPr>
            <w:tcW w:w="1469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C41A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0 分</w:t>
            </w:r>
          </w:p>
        </w:tc>
        <w:tc>
          <w:tcPr>
            <w:tcW w:w="1541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EE40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1 分</w:t>
            </w:r>
          </w:p>
        </w:tc>
        <w:tc>
          <w:tcPr>
            <w:tcW w:w="1757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FBEC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2 分</w:t>
            </w:r>
          </w:p>
        </w:tc>
        <w:tc>
          <w:tcPr>
            <w:tcW w:w="2333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5F1D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3 分</w:t>
            </w:r>
          </w:p>
        </w:tc>
        <w:tc>
          <w:tcPr>
            <w:tcW w:w="2333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C9FD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4 分</w:t>
            </w:r>
          </w:p>
        </w:tc>
      </w:tr>
      <w:tr w14:paraId="0ABF19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35DF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呼吸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PaO2/FiO2 mmHg</w:t>
            </w:r>
          </w:p>
        </w:tc>
        <w:tc>
          <w:tcPr>
            <w:tcW w:w="14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8ADC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≥400</w:t>
            </w:r>
          </w:p>
        </w:tc>
        <w:tc>
          <w:tcPr>
            <w:tcW w:w="1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EF44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&lt;400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ED52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&lt;300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545FA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&lt;200 且有呼吸支持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6A11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&lt;100 且有呼吸支持</w:t>
            </w:r>
          </w:p>
        </w:tc>
      </w:tr>
      <w:tr w14:paraId="56AD373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5AA1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凝血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Platelets 10³/μL</w:t>
            </w:r>
          </w:p>
        </w:tc>
        <w:tc>
          <w:tcPr>
            <w:tcW w:w="1469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A43D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≥150</w:t>
            </w:r>
          </w:p>
        </w:tc>
        <w:tc>
          <w:tcPr>
            <w:tcW w:w="1541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8632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&lt;150</w:t>
            </w:r>
          </w:p>
        </w:tc>
        <w:tc>
          <w:tcPr>
            <w:tcW w:w="1757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0618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&lt;100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5A3EC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&lt;50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71DC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&lt;20</w:t>
            </w:r>
          </w:p>
        </w:tc>
      </w:tr>
      <w:tr w14:paraId="0691A35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B817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肝脏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Bilirubin mg/dL</w:t>
            </w:r>
          </w:p>
        </w:tc>
        <w:tc>
          <w:tcPr>
            <w:tcW w:w="14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4ED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&lt;1.2</w:t>
            </w:r>
          </w:p>
        </w:tc>
        <w:tc>
          <w:tcPr>
            <w:tcW w:w="1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67E9D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1.2–1.9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3E06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2.0–5.9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44F22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6.0–11.9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AFCD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≥12.0</w:t>
            </w:r>
          </w:p>
        </w:tc>
      </w:tr>
      <w:tr w14:paraId="0C0BD4F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2EF5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心血管</w:t>
            </w:r>
          </w:p>
        </w:tc>
        <w:tc>
          <w:tcPr>
            <w:tcW w:w="1469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45D5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MAP ≥70</w:t>
            </w:r>
          </w:p>
        </w:tc>
        <w:tc>
          <w:tcPr>
            <w:tcW w:w="1541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E3ED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MAP &lt;70</w:t>
            </w:r>
          </w:p>
        </w:tc>
        <w:tc>
          <w:tcPr>
            <w:tcW w:w="1757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E2662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多巴胺 ≤5 或多巴酚丁胺任意剂量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35ABC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多巴胺 &gt;5 至 15 或肾上腺素/去甲肾上腺素 ≤0.1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CD609">
            <w:pPr>
              <w:spacing w:after="0" w:line="259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5"/>
                <w:lang w:eastAsia="zh-CN"/>
              </w:rPr>
              <w:t>多巴胺 &gt;15 或肾上腺素/去甲肾上腺素 &gt;0.1</w:t>
            </w:r>
          </w:p>
        </w:tc>
      </w:tr>
      <w:tr w14:paraId="514C9D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4C17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神经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GCS</w:t>
            </w:r>
          </w:p>
        </w:tc>
        <w:tc>
          <w:tcPr>
            <w:tcW w:w="146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F00F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15</w:t>
            </w:r>
          </w:p>
        </w:tc>
        <w:tc>
          <w:tcPr>
            <w:tcW w:w="154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504E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13–14</w:t>
            </w:r>
          </w:p>
        </w:tc>
        <w:tc>
          <w:tcPr>
            <w:tcW w:w="1757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A17D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10–12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0771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6–9</w:t>
            </w:r>
          </w:p>
        </w:tc>
        <w:tc>
          <w:tcPr>
            <w:tcW w:w="2333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619E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&lt;6</w:t>
            </w:r>
          </w:p>
        </w:tc>
      </w:tr>
      <w:tr w14:paraId="50026E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3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A62E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肾脏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Creatinine mg/dL</w:t>
            </w:r>
            <w:r>
              <w:rPr>
                <w:sz w:val="15"/>
              </w:rPr>
              <w:br w:type="textWrapping"/>
            </w:r>
            <w:r>
              <w:rPr>
                <w:sz w:val="15"/>
              </w:rPr>
              <w:t>或 Urine mL/day</w:t>
            </w:r>
          </w:p>
        </w:tc>
        <w:tc>
          <w:tcPr>
            <w:tcW w:w="1469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1C67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Cr &lt;1.2</w:t>
            </w:r>
          </w:p>
        </w:tc>
        <w:tc>
          <w:tcPr>
            <w:tcW w:w="1541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8593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Cr 1.2–1.9</w:t>
            </w:r>
          </w:p>
        </w:tc>
        <w:tc>
          <w:tcPr>
            <w:tcW w:w="1757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37F7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Cr 2.0–3.4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2E45C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Cr 3.5–4.9 或尿量 &lt;500</w:t>
            </w:r>
          </w:p>
        </w:tc>
        <w:tc>
          <w:tcPr>
            <w:tcW w:w="2333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7068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5"/>
              </w:rPr>
              <w:t>Cr ≥5.0 或尿量 &lt;200</w:t>
            </w:r>
          </w:p>
        </w:tc>
      </w:tr>
    </w:tbl>
    <w:p w14:paraId="084A1F1A">
      <w:pPr>
        <w:spacing w:before="100" w:after="120"/>
        <w:rPr>
          <w:rFonts w:hint="eastAsia"/>
          <w:lang w:eastAsia="zh-CN"/>
        </w:rPr>
      </w:pPr>
      <w:r>
        <w:rPr>
          <w:color w:val="404040"/>
          <w:sz w:val="17"/>
          <w:lang w:eastAsia="zh-CN"/>
        </w:rPr>
        <w:t xml:space="preserve">注：升压药剂量单位为 </w:t>
      </w:r>
      <w:r>
        <w:rPr>
          <w:color w:val="404040"/>
          <w:sz w:val="17"/>
        </w:rPr>
        <w:t>μ</w:t>
      </w:r>
      <w:r>
        <w:rPr>
          <w:color w:val="404040"/>
          <w:sz w:val="17"/>
          <w:lang w:eastAsia="zh-CN"/>
        </w:rPr>
        <w:t>g/kg/min。经典 SOFA 的 3 至 4 分呼吸档需要呼吸支持；本数据以 MechVent 作为可用标志。</w:t>
      </w:r>
    </w:p>
    <w:p w14:paraId="1E97DEFF">
      <w:pPr>
        <w:pStyle w:val="3"/>
        <w:rPr>
          <w:lang w:eastAsia="zh-CN"/>
        </w:rPr>
      </w:pPr>
      <w:r>
        <w:rPr>
          <w:lang w:eastAsia="zh-CN"/>
        </w:rPr>
        <w:t>四 48 小时到底怎样取最差值</w:t>
      </w:r>
    </w:p>
    <w:p w14:paraId="4352991B">
      <w:pPr>
        <w:spacing w:line="300" w:lineRule="auto"/>
        <w:ind w:firstLine="420"/>
        <w:rPr>
          <w:rFonts w:hint="eastAsia"/>
          <w:lang w:eastAsia="zh-CN"/>
        </w:rPr>
      </w:pPr>
      <w:r>
        <w:rPr>
          <w:b/>
          <w:lang w:eastAsia="zh-CN"/>
        </w:rPr>
        <w:t>正确做法：</w:t>
      </w:r>
      <w:r>
        <w:rPr>
          <w:lang w:eastAsia="zh-CN"/>
        </w:rPr>
        <w:t>在 Day 1 内分别计算六项最差分数并相加，Day 2 也同样计算。若需要“前 48 小时最高 SOFA”，取两个日总分中的较大者。</w:t>
      </w:r>
    </w:p>
    <w:p w14:paraId="52C86AB0">
      <w:pPr>
        <w:spacing w:before="120" w:after="12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SOFA(48 h最高) = max[SOFA(Day 1), SOFA(Day 2)]</m:t>
          </m:r>
        </m:oMath>
      </m:oMathPara>
    </w:p>
    <w:p w14:paraId="6DB1BF85">
      <w:pPr>
        <w:spacing w:line="300" w:lineRule="auto"/>
        <w:ind w:firstLine="420"/>
        <w:rPr>
          <w:rFonts w:hint="eastAsia"/>
          <w:lang w:eastAsia="zh-CN"/>
        </w:rPr>
      </w:pPr>
      <w:r>
        <w:rPr>
          <w:b w:val="0"/>
          <w:bCs/>
          <w:lang w:eastAsia="zh-CN"/>
        </w:rPr>
        <w:t>不要</w:t>
      </w:r>
      <w:r>
        <w:rPr>
          <w:lang w:eastAsia="zh-CN"/>
        </w:rPr>
        <w:t>把 Day 1 和 Day 2 中六个系统各自的最高分重新拼成一个总分。那样得到的六项可能从未在同一个 24 小时窗口中同时存在，不是标准的最高日 SOFA。</w:t>
      </w:r>
    </w:p>
    <w:p w14:paraId="570D4C7F">
      <w:pPr>
        <w:pStyle w:val="3"/>
        <w:rPr>
          <w:lang w:eastAsia="zh-CN"/>
        </w:rPr>
      </w:pPr>
      <w:r>
        <w:rPr>
          <w:lang w:eastAsia="zh-CN"/>
        </w:rPr>
        <w:t>五 本数据集的实际处理规则</w:t>
      </w:r>
    </w:p>
    <w:p w14:paraId="343C95A7">
      <w:pPr>
        <w:pStyle w:val="16"/>
        <w:spacing w:after="60" w:line="283" w:lineRule="auto"/>
        <w:rPr>
          <w:rFonts w:hint="eastAsia"/>
          <w:lang w:eastAsia="zh-CN"/>
        </w:rPr>
      </w:pPr>
      <w:r>
        <w:rPr>
          <w:sz w:val="20"/>
          <w:lang w:eastAsia="zh-CN"/>
        </w:rPr>
        <w:t>PaO2 与最近的 FiO2 配对。本次试算限定时间差不超过前后 2 小时，再结合附近的 MechVent 判断呼吸支持。</w:t>
      </w:r>
    </w:p>
    <w:p w14:paraId="134608A1">
      <w:pPr>
        <w:pStyle w:val="16"/>
        <w:spacing w:after="60" w:line="283" w:lineRule="auto"/>
        <w:rPr>
          <w:rFonts w:hint="eastAsia"/>
          <w:lang w:eastAsia="zh-CN"/>
        </w:rPr>
      </w:pPr>
      <w:r>
        <w:rPr>
          <w:sz w:val="20"/>
          <w:lang w:eastAsia="zh-CN"/>
        </w:rPr>
        <w:t>有创 MAP 优先；没有有创 MAP 时使用 NIMAP。由于数据没有升压药名称和剂量，心血管 2 至 4 分可能被低估。</w:t>
      </w:r>
    </w:p>
    <w:p w14:paraId="00C5BD9E">
      <w:pPr>
        <w:pStyle w:val="16"/>
        <w:spacing w:after="60" w:line="283" w:lineRule="auto"/>
        <w:rPr>
          <w:rFonts w:hint="eastAsia"/>
        </w:rPr>
      </w:pPr>
      <w:r>
        <w:rPr>
          <w:sz w:val="20"/>
        </w:rPr>
        <w:t>只有尿量记录足以代表完整 24 小时时，才使用尿量阈值；否则以 Creatinine 为主。</w:t>
      </w:r>
    </w:p>
    <w:p w14:paraId="3D08018F">
      <w:pPr>
        <w:pStyle w:val="16"/>
        <w:spacing w:after="60" w:line="283" w:lineRule="auto"/>
        <w:rPr>
          <w:rFonts w:hint="eastAsia"/>
          <w:lang w:eastAsia="zh-CN"/>
        </w:rPr>
      </w:pPr>
      <w:r>
        <w:rPr>
          <w:sz w:val="20"/>
          <w:lang w:eastAsia="zh-CN"/>
        </w:rPr>
        <w:t>为了复现 outcomes 标签，某系统完全缺失时按 0 分求和，同时保留缺失标记。严谨研究中还应输出一个“任一分项缺失则总分缺失”的严格版本。</w:t>
      </w:r>
    </w:p>
    <w:p w14:paraId="77309666">
      <w:pPr>
        <w:rPr>
          <w:rFonts w:hint="eastAsia"/>
          <w:lang w:eastAsia="zh-CN"/>
        </w:rPr>
      </w:pPr>
    </w:p>
    <w:p w14:paraId="1E06CF5A">
      <w:pPr>
        <w:pStyle w:val="3"/>
      </w:pPr>
      <w:r>
        <w:t>六 100001 的计算示例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1728"/>
        <w:gridCol w:w="6768"/>
      </w:tblGrid>
      <w:tr w14:paraId="666FB5A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D72C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系统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845C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Day 1 分数</w:t>
            </w:r>
          </w:p>
        </w:tc>
        <w:tc>
          <w:tcPr>
            <w:tcW w:w="676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8EFA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14:paraId="5EA0641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F65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呼吸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3714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AD97AB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PaO2/FiO2 未进入异常档</w:t>
            </w:r>
          </w:p>
        </w:tc>
      </w:tr>
      <w:tr w14:paraId="481296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CD8E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凝血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8A6DF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76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85D5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Platelets 未进入异常档</w:t>
            </w:r>
          </w:p>
        </w:tc>
      </w:tr>
      <w:tr w14:paraId="456316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40FD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肝脏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B0D37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AD820E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Bilirubin 未进入异常档</w:t>
            </w:r>
          </w:p>
        </w:tc>
      </w:tr>
      <w:tr w14:paraId="3502F47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0F89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心血管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CB4C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676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F4765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最低 MAP &lt;70 mmHg</w:t>
            </w:r>
          </w:p>
        </w:tc>
      </w:tr>
      <w:tr w14:paraId="0726026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A308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神经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D5ACE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7C4D0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最低 GCS 为 15</w:t>
            </w:r>
          </w:p>
        </w:tc>
      </w:tr>
      <w:tr w14:paraId="5ED81BF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37150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肾脏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E0DF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</w:t>
            </w:r>
          </w:p>
        </w:tc>
        <w:tc>
          <w:tcPr>
            <w:tcW w:w="676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BDDC9">
            <w:pPr>
              <w:spacing w:after="0" w:line="259" w:lineRule="auto"/>
              <w:rPr>
                <w:rFonts w:hint="eastAsia"/>
              </w:rPr>
            </w:pPr>
            <w:r>
              <w:rPr>
                <w:sz w:val="17"/>
              </w:rPr>
              <w:t>Creatinine 和有效尿量未进入异常档</w:t>
            </w:r>
          </w:p>
        </w:tc>
      </w:tr>
    </w:tbl>
    <w:p w14:paraId="23B4E809">
      <w:pPr>
        <w:spacing w:before="120" w:after="120"/>
        <w:jc w:val="center"/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SOFA Day 1 = 0 + 0 + 0 + 1 + 0 + 0 = 1</m:t>
          </m:r>
        </m:oMath>
      </m:oMathPara>
    </w:p>
    <w:p w14:paraId="6E3661EE">
      <w:pPr>
        <w:spacing w:line="300" w:lineRule="auto"/>
        <w:ind w:firstLine="420"/>
        <w:rPr>
          <w:rFonts w:hint="eastAsia"/>
        </w:rPr>
      </w:pPr>
      <w:r>
        <w:t>100001 的 Day 2 试算值为 2，因此其前 48 小时最高 SOFA 为 max(1, 2) = 2；而 outcomes.SOFA 为 1。这里的 2 表示“48 小时最高日 SOFA”，1 是数据集已有标签，两者应分别保存，不能互相覆盖。</w:t>
      </w:r>
    </w:p>
    <w:p w14:paraId="3757DE4C">
      <w:pPr>
        <w:pStyle w:val="3"/>
        <w:rPr>
          <w:lang w:eastAsia="zh-CN"/>
        </w:rPr>
      </w:pPr>
      <w:r>
        <w:rPr>
          <w:lang w:eastAsia="zh-CN"/>
        </w:rPr>
        <w:t>七 数据完整性审计（n = 12,000）</w:t>
      </w:r>
    </w:p>
    <w:p w14:paraId="40F7E6BF">
      <w:pPr>
        <w:spacing w:after="160"/>
        <w:rPr>
          <w:rFonts w:hint="eastAsia"/>
          <w:lang w:eastAsia="zh-CN"/>
        </w:rPr>
      </w:pPr>
      <w:r>
        <w:rPr>
          <w:lang w:eastAsia="zh-CN"/>
        </w:rPr>
        <w:t>本节核对前述计分口径在本数据集上究竟能落到什么程度：逐文件读取全部 12,000 条记录，不抽样。缺失定义在「记录 × 时间窗」层面——某条记录在该 24 小时窗口内该指标一次有效值都没有，即计为缺失；Value = -1 按缺失处理，不参与任何计数或分位数。Day 1 / Day 2 的划分与第一节一致。本节只描述数据，不产生患者分数。</w:t>
      </w:r>
    </w:p>
    <w:p w14:paraId="015BFEC3">
      <w:pPr>
        <w:spacing w:after="40"/>
        <w:rPr>
          <w:rFonts w:hint="eastAsia"/>
          <w:lang w:eastAsia="zh-CN"/>
        </w:rPr>
      </w:pPr>
      <w:r>
        <w:rPr>
          <w:b/>
          <w:sz w:val="19"/>
          <w:lang w:eastAsia="zh-CN"/>
        </w:rPr>
        <w:t>表 1  SOFA-1 与 SOFA-2 所需指标在 PhysioNet 2012 数据集中的门类可得性（n = 12,000）</w:t>
      </w:r>
    </w:p>
    <w:p w14:paraId="41493C5B">
      <w:pPr>
        <w:spacing w:after="80"/>
        <w:rPr>
          <w:rFonts w:hint="eastAsia"/>
          <w:lang w:eastAsia="zh-CN"/>
        </w:rPr>
      </w:pPr>
      <w:r>
        <w:rPr>
          <w:color w:val="595959"/>
          <w:sz w:val="17"/>
          <w:lang w:eastAsia="zh-CN"/>
        </w:rPr>
        <w:t>口径：只看门类有无，不看单条病例的完整度。「有」＝数据集中存在承载该概念的字段；「部分」＝字段存在但语义降级或不足以支撑全部分档；「无」／「不齐」＝不存在任何可承载该概念的字段。</w:t>
      </w:r>
    </w:p>
    <w:tbl>
      <w:tblPr>
        <w:tblStyle w:val="32"/>
        <w:tblW w:w="10282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320"/>
        <w:gridCol w:w="1620"/>
        <w:gridCol w:w="760"/>
        <w:gridCol w:w="1660"/>
        <w:gridCol w:w="760"/>
        <w:gridCol w:w="1330"/>
        <w:gridCol w:w="2832"/>
      </w:tblGrid>
      <w:tr w14:paraId="6358B94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320" w:type="dxa"/>
            <w:shd w:val="clear" w:color="auto" w:fill="F2F2F2"/>
            <w:vAlign w:val="center"/>
          </w:tcPr>
          <w:p w14:paraId="319D4DC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器官系统</w:t>
            </w:r>
          </w:p>
        </w:tc>
        <w:tc>
          <w:tcPr>
            <w:tcW w:w="1620" w:type="dxa"/>
            <w:shd w:val="clear" w:color="auto" w:fill="F2F2F2"/>
            <w:vAlign w:val="center"/>
          </w:tcPr>
          <w:p w14:paraId="7ABD544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SOFA-1 所需指标</w:t>
            </w:r>
          </w:p>
        </w:tc>
        <w:tc>
          <w:tcPr>
            <w:tcW w:w="760" w:type="dxa"/>
            <w:shd w:val="clear" w:color="auto" w:fill="F2F2F2"/>
            <w:vAlign w:val="center"/>
          </w:tcPr>
          <w:p w14:paraId="4C57469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门类</w:t>
            </w:r>
          </w:p>
        </w:tc>
        <w:tc>
          <w:tcPr>
            <w:tcW w:w="1660" w:type="dxa"/>
            <w:shd w:val="clear" w:color="auto" w:fill="F2F2F2"/>
            <w:vAlign w:val="center"/>
          </w:tcPr>
          <w:p w14:paraId="4B3AFE9E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SOFA-2 追加所需</w:t>
            </w:r>
          </w:p>
        </w:tc>
        <w:tc>
          <w:tcPr>
            <w:tcW w:w="760" w:type="dxa"/>
            <w:shd w:val="clear" w:color="auto" w:fill="F2F2F2"/>
            <w:vAlign w:val="center"/>
          </w:tcPr>
          <w:p w14:paraId="3146DA5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门类</w:t>
            </w:r>
          </w:p>
        </w:tc>
        <w:tc>
          <w:tcPr>
            <w:tcW w:w="1330" w:type="dxa"/>
            <w:shd w:val="clear" w:color="auto" w:fill="F2F2F2"/>
            <w:vAlign w:val="center"/>
          </w:tcPr>
          <w:p w14:paraId="0633783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数据集字段</w:t>
            </w:r>
          </w:p>
        </w:tc>
        <w:tc>
          <w:tcPr>
            <w:tcW w:w="2832" w:type="dxa"/>
            <w:shd w:val="clear" w:color="auto" w:fill="F2F2F2"/>
            <w:vAlign w:val="center"/>
          </w:tcPr>
          <w:p w14:paraId="7F971DA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说明</w:t>
            </w:r>
          </w:p>
        </w:tc>
      </w:tr>
      <w:tr w14:paraId="50DE93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5DC8A225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呼吸</w:t>
            </w:r>
          </w:p>
          <w:p w14:paraId="75015EF9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Respiratory</w:t>
            </w:r>
          </w:p>
        </w:tc>
        <w:tc>
          <w:tcPr>
            <w:tcW w:w="1620" w:type="dxa"/>
            <w:vAlign w:val="center"/>
          </w:tcPr>
          <w:p w14:paraId="50A5681F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PaO₂/FiO₂；3–4 分需呼吸支持</w:t>
            </w:r>
          </w:p>
        </w:tc>
        <w:tc>
          <w:tcPr>
            <w:tcW w:w="760" w:type="dxa"/>
            <w:vAlign w:val="center"/>
          </w:tcPr>
          <w:p w14:paraId="74985C3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部分</w:t>
            </w:r>
          </w:p>
        </w:tc>
        <w:tc>
          <w:tcPr>
            <w:tcW w:w="1660" w:type="dxa"/>
            <w:vAlign w:val="center"/>
          </w:tcPr>
          <w:p w14:paraId="14171DA6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S/F 替代（SpO₂）、ECMO、高级呼吸支持分级</w:t>
            </w:r>
          </w:p>
        </w:tc>
        <w:tc>
          <w:tcPr>
            <w:tcW w:w="760" w:type="dxa"/>
            <w:vAlign w:val="center"/>
          </w:tcPr>
          <w:p w14:paraId="55D9377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部分</w:t>
            </w:r>
          </w:p>
        </w:tc>
        <w:tc>
          <w:tcPr>
            <w:tcW w:w="1330" w:type="dxa"/>
            <w:vAlign w:val="center"/>
          </w:tcPr>
          <w:p w14:paraId="0931484B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PaO2、FiO2、MechVent</w:t>
            </w:r>
          </w:p>
        </w:tc>
        <w:tc>
          <w:tcPr>
            <w:tcW w:w="2832" w:type="dxa"/>
            <w:vAlign w:val="center"/>
          </w:tcPr>
          <w:p w14:paraId="42AF0EFB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P/F 的分子分母字段齐全。MechVent 全库 91,644 行取值恒为 1，无 0 值、无通气模式，只能当存在性代理，无法区分有创／无创／HFNO。</w:t>
            </w:r>
            <w:r>
              <w:rPr>
                <w:sz w:val="17"/>
              </w:rPr>
              <w:t>SpO₂ 以 SaO2 存在但覆盖低。无 ECMO 字段。</w:t>
            </w:r>
          </w:p>
        </w:tc>
      </w:tr>
      <w:tr w14:paraId="6FB0D6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05D4C55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凝血／止血</w:t>
            </w:r>
          </w:p>
          <w:p w14:paraId="4EA384DA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Hemostasis</w:t>
            </w:r>
          </w:p>
        </w:tc>
        <w:tc>
          <w:tcPr>
            <w:tcW w:w="1620" w:type="dxa"/>
            <w:vAlign w:val="center"/>
          </w:tcPr>
          <w:p w14:paraId="722C8EC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Platelets 10³/μL</w:t>
            </w:r>
          </w:p>
        </w:tc>
        <w:tc>
          <w:tcPr>
            <w:tcW w:w="760" w:type="dxa"/>
            <w:vAlign w:val="center"/>
          </w:tcPr>
          <w:p w14:paraId="326DBA7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660" w:type="dxa"/>
            <w:vAlign w:val="center"/>
          </w:tcPr>
          <w:p w14:paraId="36962E3C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无新增变量（仅阈值改动）</w:t>
            </w:r>
          </w:p>
        </w:tc>
        <w:tc>
          <w:tcPr>
            <w:tcW w:w="760" w:type="dxa"/>
            <w:vAlign w:val="center"/>
          </w:tcPr>
          <w:p w14:paraId="3A787B9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330" w:type="dxa"/>
            <w:vAlign w:val="center"/>
          </w:tcPr>
          <w:p w14:paraId="3B29B70E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Platelets</w:t>
            </w:r>
          </w:p>
        </w:tc>
        <w:tc>
          <w:tcPr>
            <w:tcW w:w="2832" w:type="dxa"/>
            <w:vAlign w:val="center"/>
          </w:tcPr>
          <w:p w14:paraId="4A606934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单指标系统，门类完整。</w:t>
            </w:r>
            <w:r>
              <w:rPr>
                <w:sz w:val="17"/>
              </w:rPr>
              <w:t>SOFA-2 只改分档阈值（≤150／≤100／≤80／≤50），不引入新字段。</w:t>
            </w:r>
          </w:p>
        </w:tc>
      </w:tr>
      <w:tr w14:paraId="00A5F3A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6E31C5D7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肝脏</w:t>
            </w:r>
          </w:p>
          <w:p w14:paraId="067FCC9C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Liver</w:t>
            </w:r>
          </w:p>
        </w:tc>
        <w:tc>
          <w:tcPr>
            <w:tcW w:w="1620" w:type="dxa"/>
            <w:vAlign w:val="center"/>
          </w:tcPr>
          <w:p w14:paraId="6FD927C1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Bilirubin mg/dL</w:t>
            </w:r>
          </w:p>
        </w:tc>
        <w:tc>
          <w:tcPr>
            <w:tcW w:w="760" w:type="dxa"/>
            <w:vAlign w:val="center"/>
          </w:tcPr>
          <w:p w14:paraId="78D701F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660" w:type="dxa"/>
            <w:vAlign w:val="center"/>
          </w:tcPr>
          <w:p w14:paraId="6B73151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无新增变量（仅阈值改动）</w:t>
            </w:r>
          </w:p>
        </w:tc>
        <w:tc>
          <w:tcPr>
            <w:tcW w:w="760" w:type="dxa"/>
            <w:vAlign w:val="center"/>
          </w:tcPr>
          <w:p w14:paraId="38FD857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330" w:type="dxa"/>
            <w:vAlign w:val="center"/>
          </w:tcPr>
          <w:p w14:paraId="70F5621E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Bilirubin</w:t>
            </w:r>
          </w:p>
        </w:tc>
        <w:tc>
          <w:tcPr>
            <w:tcW w:w="2832" w:type="dxa"/>
            <w:vAlign w:val="center"/>
          </w:tcPr>
          <w:p w14:paraId="10C214D5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门类存在，但覆盖率是六系统中最低的一个（见表 2）。</w:t>
            </w:r>
            <w:r>
              <w:rPr>
                <w:sz w:val="17"/>
              </w:rPr>
              <w:t>库中另有 ALT／AST／ALP／Albumin，均不参与 SOFA 计分。</w:t>
            </w:r>
          </w:p>
        </w:tc>
      </w:tr>
      <w:tr w14:paraId="0A5C640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7980A04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心血管</w:t>
            </w:r>
          </w:p>
          <w:p w14:paraId="56910155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Cardiovascular</w:t>
            </w:r>
          </w:p>
        </w:tc>
        <w:tc>
          <w:tcPr>
            <w:tcW w:w="1620" w:type="dxa"/>
            <w:vAlign w:val="center"/>
          </w:tcPr>
          <w:p w14:paraId="13ECFAE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MAP；多巴胺／多巴酚丁胺／肾上腺素／去甲肾上腺素剂量</w:t>
            </w:r>
          </w:p>
        </w:tc>
        <w:tc>
          <w:tcPr>
            <w:tcW w:w="760" w:type="dxa"/>
            <w:vAlign w:val="center"/>
          </w:tcPr>
          <w:p w14:paraId="05629F1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不齐</w:t>
            </w:r>
          </w:p>
        </w:tc>
        <w:tc>
          <w:tcPr>
            <w:tcW w:w="1660" w:type="dxa"/>
            <w:vAlign w:val="center"/>
          </w:tcPr>
          <w:p w14:paraId="337E75D9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NE+Epi 剂量求和分档；机械循环支持（VA-ECMO／IABP）</w:t>
            </w:r>
          </w:p>
        </w:tc>
        <w:tc>
          <w:tcPr>
            <w:tcW w:w="760" w:type="dxa"/>
            <w:vAlign w:val="center"/>
          </w:tcPr>
          <w:p w14:paraId="157BD1A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330" w:type="dxa"/>
            <w:vAlign w:val="center"/>
          </w:tcPr>
          <w:p w14:paraId="4A27135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MAP、NIMAP</w:t>
            </w:r>
            <w:r>
              <w:rPr>
                <w:sz w:val="17"/>
                <w:lang w:eastAsia="zh-CN"/>
              </w:rPr>
              <w:br w:type="textWrapping"/>
            </w:r>
            <w:r>
              <w:rPr>
                <w:sz w:val="17"/>
                <w:lang w:eastAsia="zh-CN"/>
              </w:rPr>
              <w:t>（升压药：无）</w:t>
            </w:r>
          </w:p>
        </w:tc>
        <w:tc>
          <w:tcPr>
            <w:tcW w:w="2832" w:type="dxa"/>
            <w:vAlign w:val="center"/>
          </w:tcPr>
          <w:p w14:paraId="581DCD5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唯一门类不齐的系统。MAP 有创与无创两路合并后覆盖 98.5%；但全库无任何血管活性药字段，SOFA-1 的 2/3/4 分与 SOFA-2 的 2/3/4 分全部不可达，心血管项被压缩为 0–1 分二值。</w:t>
            </w:r>
          </w:p>
        </w:tc>
      </w:tr>
      <w:tr w14:paraId="728818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1576CC1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脑／神经</w:t>
            </w:r>
          </w:p>
          <w:p w14:paraId="098177BD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Brain</w:t>
            </w:r>
          </w:p>
        </w:tc>
        <w:tc>
          <w:tcPr>
            <w:tcW w:w="1620" w:type="dxa"/>
            <w:vAlign w:val="center"/>
          </w:tcPr>
          <w:p w14:paraId="46DB4329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GCS 3–15</w:t>
            </w:r>
          </w:p>
        </w:tc>
        <w:tc>
          <w:tcPr>
            <w:tcW w:w="760" w:type="dxa"/>
            <w:vAlign w:val="center"/>
          </w:tcPr>
          <w:p w14:paraId="64AC49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660" w:type="dxa"/>
            <w:vAlign w:val="center"/>
          </w:tcPr>
          <w:p w14:paraId="409BB36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谵妄治疗用药；镇静状态</w:t>
            </w:r>
          </w:p>
        </w:tc>
        <w:tc>
          <w:tcPr>
            <w:tcW w:w="760" w:type="dxa"/>
            <w:vAlign w:val="center"/>
          </w:tcPr>
          <w:p w14:paraId="303E4EC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1330" w:type="dxa"/>
            <w:vAlign w:val="center"/>
          </w:tcPr>
          <w:p w14:paraId="6160483C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GCS</w:t>
            </w:r>
          </w:p>
        </w:tc>
        <w:tc>
          <w:tcPr>
            <w:tcW w:w="2832" w:type="dxa"/>
            <w:vAlign w:val="center"/>
          </w:tcPr>
          <w:p w14:paraId="45C004E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GCS 门类完整且取值合规（3–15，无越界）。无谵妄评估（CAM-ICU／ICDSC）、无镇静用药记录、无 RASS，故 SOFA-2 的 1 分档「需药物治疗谵妄」一支不可判。</w:t>
            </w:r>
          </w:p>
        </w:tc>
      </w:tr>
      <w:tr w14:paraId="19B966D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320" w:type="dxa"/>
            <w:vAlign w:val="center"/>
          </w:tcPr>
          <w:p w14:paraId="6A2D8F33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肾脏</w:t>
            </w:r>
          </w:p>
          <w:p w14:paraId="70DB800D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Kidney</w:t>
            </w:r>
          </w:p>
        </w:tc>
        <w:tc>
          <w:tcPr>
            <w:tcW w:w="1620" w:type="dxa"/>
            <w:vAlign w:val="center"/>
          </w:tcPr>
          <w:p w14:paraId="2FCC5B79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Creatinine mg/dL 或 Urine mL/day</w:t>
            </w:r>
          </w:p>
        </w:tc>
        <w:tc>
          <w:tcPr>
            <w:tcW w:w="760" w:type="dxa"/>
            <w:vAlign w:val="center"/>
          </w:tcPr>
          <w:p w14:paraId="4DDE086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有</w:t>
            </w:r>
          </w:p>
        </w:tc>
        <w:tc>
          <w:tcPr>
            <w:tcW w:w="1660" w:type="dxa"/>
            <w:vAlign w:val="center"/>
          </w:tcPr>
          <w:p w14:paraId="59F509EB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体重标准化尿量速率（mL/kg/h）；RRT／透析</w:t>
            </w:r>
          </w:p>
        </w:tc>
        <w:tc>
          <w:tcPr>
            <w:tcW w:w="760" w:type="dxa"/>
            <w:vAlign w:val="center"/>
          </w:tcPr>
          <w:p w14:paraId="288A668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部分</w:t>
            </w:r>
          </w:p>
        </w:tc>
        <w:tc>
          <w:tcPr>
            <w:tcW w:w="1330" w:type="dxa"/>
            <w:vAlign w:val="center"/>
          </w:tcPr>
          <w:p w14:paraId="608CCB18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</w:rPr>
              <w:t>Creatinine、Urine、Weight</w:t>
            </w:r>
          </w:p>
        </w:tc>
        <w:tc>
          <w:tcPr>
            <w:tcW w:w="2832" w:type="dxa"/>
            <w:vAlign w:val="center"/>
          </w:tcPr>
          <w:p w14:paraId="1458477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SOFA-1 所需两项齐全。Urine 为每次计量的增量（mL），配合 Weight（92.3% 记录可得）可推 mL/kg/h：Day 1 内 90.0% 的记录同时具备体重与跨度 ≥ 6 h 的尿量序列。无 RRT／透析字段，SOFA-2 肾脏 4 分档不可达。</w:t>
            </w:r>
          </w:p>
        </w:tc>
      </w:tr>
    </w:tbl>
    <w:p w14:paraId="78ABD139">
      <w:pPr>
        <w:spacing w:before="60" w:after="200"/>
        <w:rPr>
          <w:rFonts w:hint="eastAsia"/>
          <w:lang w:eastAsia="zh-CN"/>
        </w:rPr>
      </w:pPr>
      <w:r>
        <w:rPr>
          <w:color w:val="595959"/>
          <w:sz w:val="17"/>
          <w:lang w:eastAsia="zh-CN"/>
        </w:rPr>
        <w:t>注：SOFA-2 于 2025 年发布，本数据采集于</w:t>
      </w:r>
      <w:bookmarkStart w:id="0" w:name="_GoBack"/>
      <w:bookmarkEnd w:id="0"/>
      <w:r>
        <w:rPr>
          <w:color w:val="595959"/>
          <w:sz w:val="17"/>
          <w:lang w:eastAsia="zh-CN"/>
        </w:rPr>
        <w:t xml:space="preserve"> 20</w:t>
      </w:r>
      <w:r>
        <w:rPr>
          <w:rFonts w:hint="eastAsia"/>
          <w:color w:val="595959"/>
          <w:sz w:val="17"/>
          <w:lang w:val="en-US" w:eastAsia="zh-CN"/>
        </w:rPr>
        <w:t>21</w:t>
      </w:r>
      <w:r>
        <w:rPr>
          <w:color w:val="595959"/>
          <w:sz w:val="17"/>
          <w:lang w:eastAsia="zh-CN"/>
        </w:rPr>
        <w:t>年前后、临床口径对应 SOFA-1，故 SOFA-2 两列仅作对照说明，不用于本文档的计分。</w:t>
      </w:r>
    </w:p>
    <w:p w14:paraId="72866699">
      <w:pPr>
        <w:spacing w:after="80"/>
        <w:rPr>
          <w:rFonts w:hint="eastAsia"/>
          <w:lang w:eastAsia="zh-CN"/>
        </w:rPr>
      </w:pPr>
      <w:r>
        <w:rPr>
          <w:b/>
          <w:sz w:val="19"/>
          <w:lang w:eastAsia="zh-CN"/>
        </w:rPr>
        <w:t>表 2  SOFA 相关指标的缺失率、采样密度与临床背景（n = 12,000）</w:t>
      </w:r>
    </w:p>
    <w:tbl>
      <w:tblPr>
        <w:tblStyle w:val="32"/>
        <w:tblW w:w="10282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250"/>
        <w:gridCol w:w="900"/>
        <w:gridCol w:w="850"/>
        <w:gridCol w:w="850"/>
        <w:gridCol w:w="850"/>
        <w:gridCol w:w="900"/>
        <w:gridCol w:w="4682"/>
      </w:tblGrid>
      <w:tr w14:paraId="500E0AA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250" w:type="dxa"/>
            <w:shd w:val="clear" w:color="auto" w:fill="F2F2F2"/>
            <w:vAlign w:val="center"/>
          </w:tcPr>
          <w:p w14:paraId="291AF53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指标／系统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0A3D2B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有效记录数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67AD1C2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48 h 缺失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71F069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Day 1 缺失</w:t>
            </w:r>
          </w:p>
        </w:tc>
        <w:tc>
          <w:tcPr>
            <w:tcW w:w="850" w:type="dxa"/>
            <w:shd w:val="clear" w:color="auto" w:fill="F2F2F2"/>
            <w:vAlign w:val="center"/>
          </w:tcPr>
          <w:p w14:paraId="7C4C048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Day 2 缺失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0B5681B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Day 1 中位次数</w:t>
            </w:r>
          </w:p>
        </w:tc>
        <w:tc>
          <w:tcPr>
            <w:tcW w:w="4682" w:type="dxa"/>
            <w:shd w:val="clear" w:color="auto" w:fill="F2F2F2"/>
            <w:vAlign w:val="center"/>
          </w:tcPr>
          <w:p w14:paraId="10BA244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临床背景与处理建议</w:t>
            </w:r>
          </w:p>
        </w:tc>
      </w:tr>
      <w:tr w14:paraId="711D69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45BCCE7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GCS</w:t>
            </w:r>
          </w:p>
          <w:p w14:paraId="774889FB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脑</w:t>
            </w:r>
          </w:p>
        </w:tc>
        <w:tc>
          <w:tcPr>
            <w:tcW w:w="900" w:type="dxa"/>
            <w:vAlign w:val="center"/>
          </w:tcPr>
          <w:p w14:paraId="34E26695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185,991</w:t>
            </w:r>
          </w:p>
        </w:tc>
        <w:tc>
          <w:tcPr>
            <w:tcW w:w="850" w:type="dxa"/>
            <w:vAlign w:val="center"/>
          </w:tcPr>
          <w:p w14:paraId="6C863A78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1.54%</w:t>
            </w:r>
          </w:p>
        </w:tc>
        <w:tc>
          <w:tcPr>
            <w:tcW w:w="850" w:type="dxa"/>
            <w:vAlign w:val="center"/>
          </w:tcPr>
          <w:p w14:paraId="747DED5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1.76%</w:t>
            </w:r>
          </w:p>
        </w:tc>
        <w:tc>
          <w:tcPr>
            <w:tcW w:w="850" w:type="dxa"/>
            <w:vAlign w:val="center"/>
          </w:tcPr>
          <w:p w14:paraId="1E0774E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1.90%</w:t>
            </w:r>
          </w:p>
        </w:tc>
        <w:tc>
          <w:tcPr>
            <w:tcW w:w="900" w:type="dxa"/>
            <w:vAlign w:val="center"/>
          </w:tcPr>
          <w:p w14:paraId="1F1DA335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4682" w:type="dxa"/>
            <w:vAlign w:val="center"/>
          </w:tcPr>
          <w:p w14:paraId="4F0AEC7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护理常规逐班评估，覆盖最完整。注意 GCS = 3 出现 14,349 次，其中相当部分由镇静／插管所致而非真实神经损伤；SOFA-1 无法区分，SOFA-2 正是为此引入镇静与谵妄修正（本数据集不可用）。</w:t>
            </w:r>
          </w:p>
        </w:tc>
      </w:tr>
      <w:tr w14:paraId="606C73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106F5F52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Creatinine</w:t>
            </w:r>
          </w:p>
          <w:p w14:paraId="1BA87B79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肾</w:t>
            </w:r>
          </w:p>
        </w:tc>
        <w:tc>
          <w:tcPr>
            <w:tcW w:w="900" w:type="dxa"/>
            <w:vAlign w:val="center"/>
          </w:tcPr>
          <w:p w14:paraId="29958AA7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41,928</w:t>
            </w:r>
          </w:p>
        </w:tc>
        <w:tc>
          <w:tcPr>
            <w:tcW w:w="850" w:type="dxa"/>
            <w:vAlign w:val="center"/>
          </w:tcPr>
          <w:p w14:paraId="68F4FD43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1.52%</w:t>
            </w:r>
          </w:p>
        </w:tc>
        <w:tc>
          <w:tcPr>
            <w:tcW w:w="850" w:type="dxa"/>
            <w:vAlign w:val="center"/>
          </w:tcPr>
          <w:p w14:paraId="19A4CFF4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2.38%</w:t>
            </w:r>
          </w:p>
        </w:tc>
        <w:tc>
          <w:tcPr>
            <w:tcW w:w="850" w:type="dxa"/>
            <w:vAlign w:val="center"/>
          </w:tcPr>
          <w:p w14:paraId="62CA8A9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3.65%</w:t>
            </w:r>
          </w:p>
        </w:tc>
        <w:tc>
          <w:tcPr>
            <w:tcW w:w="900" w:type="dxa"/>
            <w:vAlign w:val="center"/>
          </w:tcPr>
          <w:p w14:paraId="0F33E9F3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4682" w:type="dxa"/>
            <w:vAlign w:val="center"/>
          </w:tcPr>
          <w:p w14:paraId="55A2C5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入 ICU 常规生化，每日 1–2 次。缺失通常是极短住院或早期死亡，而非选择性不查，可按随机缺失处理。</w:t>
            </w:r>
          </w:p>
        </w:tc>
      </w:tr>
      <w:tr w14:paraId="2CDECD2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3BA75C21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Urine</w:t>
            </w:r>
          </w:p>
          <w:p w14:paraId="1E863774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肾</w:t>
            </w:r>
          </w:p>
        </w:tc>
        <w:tc>
          <w:tcPr>
            <w:tcW w:w="900" w:type="dxa"/>
            <w:vAlign w:val="center"/>
          </w:tcPr>
          <w:p w14:paraId="1E0A3256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411,163</w:t>
            </w:r>
          </w:p>
        </w:tc>
        <w:tc>
          <w:tcPr>
            <w:tcW w:w="850" w:type="dxa"/>
            <w:vAlign w:val="center"/>
          </w:tcPr>
          <w:p w14:paraId="0839D4E1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2.58%</w:t>
            </w:r>
          </w:p>
        </w:tc>
        <w:tc>
          <w:tcPr>
            <w:tcW w:w="850" w:type="dxa"/>
            <w:vAlign w:val="center"/>
          </w:tcPr>
          <w:p w14:paraId="2DA861BA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2.92%</w:t>
            </w:r>
          </w:p>
        </w:tc>
        <w:tc>
          <w:tcPr>
            <w:tcW w:w="850" w:type="dxa"/>
            <w:vAlign w:val="center"/>
          </w:tcPr>
          <w:p w14:paraId="2FB9F9EF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4.37%</w:t>
            </w:r>
          </w:p>
        </w:tc>
        <w:tc>
          <w:tcPr>
            <w:tcW w:w="900" w:type="dxa"/>
            <w:vAlign w:val="center"/>
          </w:tcPr>
          <w:p w14:paraId="0CB605B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19</w:t>
            </w:r>
          </w:p>
        </w:tc>
        <w:tc>
          <w:tcPr>
            <w:tcW w:w="4682" w:type="dxa"/>
            <w:vAlign w:val="center"/>
          </w:tcPr>
          <w:p w14:paraId="3E06FB2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留置导尿逐小时计量（中位采样间隔 1.0 h）。但 Day 1 记录跨度中位仅 21.2 h、只有 74.4% 的记录跨度 ≥ 20 h——入 ICU 当日窗口天然不满 24 h，直接套用「24 h 总量 &lt; 500 mL」会系统性高估肾脏得分，应改用速率口径或按实际跨度折算。</w:t>
            </w:r>
          </w:p>
        </w:tc>
      </w:tr>
      <w:tr w14:paraId="334B0D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7A7243C3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b/>
                <w:sz w:val="17"/>
                <w:lang w:eastAsia="zh-CN"/>
              </w:rPr>
              <w:t>MAP（有创＋无创）</w:t>
            </w:r>
          </w:p>
          <w:p w14:paraId="0C9E78D1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color w:val="595959"/>
                <w:sz w:val="15"/>
                <w:lang w:eastAsia="zh-CN"/>
              </w:rPr>
              <w:t>心血管</w:t>
            </w:r>
          </w:p>
        </w:tc>
        <w:tc>
          <w:tcPr>
            <w:tcW w:w="900" w:type="dxa"/>
            <w:vAlign w:val="center"/>
          </w:tcPr>
          <w:p w14:paraId="368DAFD6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731,389</w:t>
            </w:r>
          </w:p>
        </w:tc>
        <w:tc>
          <w:tcPr>
            <w:tcW w:w="850" w:type="dxa"/>
            <w:vAlign w:val="center"/>
          </w:tcPr>
          <w:p w14:paraId="749F6A46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1.53%</w:t>
            </w:r>
          </w:p>
        </w:tc>
        <w:tc>
          <w:tcPr>
            <w:tcW w:w="850" w:type="dxa"/>
            <w:vAlign w:val="center"/>
          </w:tcPr>
          <w:p w14:paraId="22BCEEDA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1.67%</w:t>
            </w:r>
          </w:p>
        </w:tc>
        <w:tc>
          <w:tcPr>
            <w:tcW w:w="850" w:type="dxa"/>
            <w:vAlign w:val="center"/>
          </w:tcPr>
          <w:p w14:paraId="4523D891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1.83%</w:t>
            </w:r>
          </w:p>
        </w:tc>
        <w:tc>
          <w:tcPr>
            <w:tcW w:w="900" w:type="dxa"/>
            <w:vAlign w:val="center"/>
          </w:tcPr>
          <w:p w14:paraId="0B38156F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31</w:t>
            </w:r>
          </w:p>
        </w:tc>
        <w:tc>
          <w:tcPr>
            <w:tcW w:w="4682" w:type="dxa"/>
            <w:vAlign w:val="center"/>
          </w:tcPr>
          <w:p w14:paraId="019B063D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两路合并后近乎全覆盖。单看有创 MAP 缺 29.9%、无创 NIMAP 缺 12.8%：动脉置管只在血流动力学不稳或心外科术后开展，因此有创 MAP 的「缺失」本身携带病情信息。两路须合并、有创优先，并对测量方式单独留痕。另有 86 行 MAP = 0（波形脱落伪值），阈值判断前应剔除。</w:t>
            </w:r>
          </w:p>
        </w:tc>
      </w:tr>
      <w:tr w14:paraId="41DC8A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6151E24F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Platelets</w:t>
            </w:r>
          </w:p>
          <w:p w14:paraId="1D63CAE1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凝血</w:t>
            </w:r>
          </w:p>
        </w:tc>
        <w:tc>
          <w:tcPr>
            <w:tcW w:w="900" w:type="dxa"/>
            <w:vAlign w:val="center"/>
          </w:tcPr>
          <w:p w14:paraId="186AD13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42,650</w:t>
            </w:r>
          </w:p>
        </w:tc>
        <w:tc>
          <w:tcPr>
            <w:tcW w:w="850" w:type="dxa"/>
            <w:vAlign w:val="center"/>
          </w:tcPr>
          <w:p w14:paraId="54E7E1CC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1.65%</w:t>
            </w:r>
          </w:p>
        </w:tc>
        <w:tc>
          <w:tcPr>
            <w:tcW w:w="850" w:type="dxa"/>
            <w:vAlign w:val="center"/>
          </w:tcPr>
          <w:p w14:paraId="5ECE3443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3.15%</w:t>
            </w:r>
          </w:p>
        </w:tc>
        <w:tc>
          <w:tcPr>
            <w:tcW w:w="850" w:type="dxa"/>
            <w:vAlign w:val="center"/>
          </w:tcPr>
          <w:p w14:paraId="27B7D06C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4.49%</w:t>
            </w:r>
          </w:p>
        </w:tc>
        <w:tc>
          <w:tcPr>
            <w:tcW w:w="900" w:type="dxa"/>
            <w:vAlign w:val="center"/>
          </w:tcPr>
          <w:p w14:paraId="51C39028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4682" w:type="dxa"/>
            <w:vAlign w:val="center"/>
          </w:tcPr>
          <w:p w14:paraId="567E2EF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血常规常规项，覆盖高。11 行 &gt; 1000 ×10³/</w:t>
            </w:r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L 需核查（反应性增多或单位错误），但不影响低值侧的计分。</w:t>
            </w:r>
          </w:p>
        </w:tc>
      </w:tr>
      <w:tr w14:paraId="3A28F9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44C5C8D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Weight</w:t>
            </w:r>
          </w:p>
          <w:p w14:paraId="72B6CF4C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（尿量速率所需）</w:t>
            </w:r>
          </w:p>
        </w:tc>
        <w:tc>
          <w:tcPr>
            <w:tcW w:w="900" w:type="dxa"/>
            <w:vAlign w:val="center"/>
          </w:tcPr>
          <w:p w14:paraId="6A3B85BA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385,941</w:t>
            </w:r>
          </w:p>
        </w:tc>
        <w:tc>
          <w:tcPr>
            <w:tcW w:w="850" w:type="dxa"/>
            <w:vAlign w:val="center"/>
          </w:tcPr>
          <w:p w14:paraId="088618CD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7.67%</w:t>
            </w:r>
          </w:p>
        </w:tc>
        <w:tc>
          <w:tcPr>
            <w:tcW w:w="850" w:type="dxa"/>
            <w:vAlign w:val="center"/>
          </w:tcPr>
          <w:p w14:paraId="1B7216FD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7.64%</w:t>
            </w:r>
          </w:p>
        </w:tc>
        <w:tc>
          <w:tcPr>
            <w:tcW w:w="850" w:type="dxa"/>
            <w:vAlign w:val="center"/>
          </w:tcPr>
          <w:p w14:paraId="02E8A954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32.41%</w:t>
            </w:r>
          </w:p>
        </w:tc>
        <w:tc>
          <w:tcPr>
            <w:tcW w:w="900" w:type="dxa"/>
            <w:vAlign w:val="center"/>
          </w:tcPr>
          <w:p w14:paraId="32B49E95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4682" w:type="dxa"/>
            <w:vAlign w:val="center"/>
          </w:tcPr>
          <w:p w14:paraId="56349445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入院时作为一般描述记录一次，之后作为时变量间断复称，故 Day 2 缺失骤升——应按「入院体重前向填充」处理，而非按窗口缺失。另有显式 -1 共 1,001 行，353 行 ≤ 20 kg、1 行 &gt; 300 kg 属异常值。</w:t>
            </w:r>
            <w:r>
              <w:rPr>
                <w:sz w:val="17"/>
              </w:rPr>
              <w:t>Height 仅 52.3% 有效且只在 00:00 记录一次，无法用理想体重兜底。</w:t>
            </w:r>
          </w:p>
        </w:tc>
      </w:tr>
      <w:tr w14:paraId="78BC3A9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50EEF27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PaO₂</w:t>
            </w:r>
          </w:p>
          <w:p w14:paraId="79D81CAF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呼吸</w:t>
            </w:r>
          </w:p>
        </w:tc>
        <w:tc>
          <w:tcPr>
            <w:tcW w:w="900" w:type="dxa"/>
            <w:vAlign w:val="center"/>
          </w:tcPr>
          <w:p w14:paraId="72D16FE4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68,880</w:t>
            </w:r>
          </w:p>
        </w:tc>
        <w:tc>
          <w:tcPr>
            <w:tcW w:w="850" w:type="dxa"/>
            <w:vAlign w:val="center"/>
          </w:tcPr>
          <w:p w14:paraId="67BE63A7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24.55%</w:t>
            </w:r>
          </w:p>
        </w:tc>
        <w:tc>
          <w:tcPr>
            <w:tcW w:w="850" w:type="dxa"/>
            <w:vAlign w:val="center"/>
          </w:tcPr>
          <w:p w14:paraId="0E01F82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29.07%</w:t>
            </w:r>
          </w:p>
        </w:tc>
        <w:tc>
          <w:tcPr>
            <w:tcW w:w="850" w:type="dxa"/>
            <w:vAlign w:val="center"/>
          </w:tcPr>
          <w:p w14:paraId="7C9AAF82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43.45%</w:t>
            </w:r>
          </w:p>
        </w:tc>
        <w:tc>
          <w:tcPr>
            <w:tcW w:w="900" w:type="dxa"/>
            <w:vAlign w:val="center"/>
          </w:tcPr>
          <w:p w14:paraId="554C1446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4682" w:type="dxa"/>
            <w:vAlign w:val="center"/>
          </w:tcPr>
          <w:p w14:paraId="62B2999E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动脉血气只在有动脉置管、且临床怀疑呼吸衰竭时抽取，属非随机缺失（MNAR）：没有血气往往意味着呼吸状况平稳。因此「无记录按正常值处理」在此有临床依据，而不是权宜之计，但必须保留缺失标记。</w:t>
            </w:r>
            <w:r>
              <w:rPr>
                <w:sz w:val="17"/>
              </w:rPr>
              <w:t>3 行 PaO₂ = 0 为伪值。</w:t>
            </w:r>
          </w:p>
        </w:tc>
      </w:tr>
      <w:tr w14:paraId="4669AE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68204D74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FiO₂</w:t>
            </w:r>
          </w:p>
          <w:p w14:paraId="3A484790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呼吸</w:t>
            </w:r>
          </w:p>
        </w:tc>
        <w:tc>
          <w:tcPr>
            <w:tcW w:w="900" w:type="dxa"/>
            <w:vAlign w:val="center"/>
          </w:tcPr>
          <w:p w14:paraId="01EE32C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95,163</w:t>
            </w:r>
          </w:p>
        </w:tc>
        <w:tc>
          <w:tcPr>
            <w:tcW w:w="850" w:type="dxa"/>
            <w:vAlign w:val="center"/>
          </w:tcPr>
          <w:p w14:paraId="2A1F09D6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32.37%</w:t>
            </w:r>
          </w:p>
        </w:tc>
        <w:tc>
          <w:tcPr>
            <w:tcW w:w="850" w:type="dxa"/>
            <w:vAlign w:val="center"/>
          </w:tcPr>
          <w:p w14:paraId="03C90ECB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37.01%</w:t>
            </w:r>
          </w:p>
        </w:tc>
        <w:tc>
          <w:tcPr>
            <w:tcW w:w="850" w:type="dxa"/>
            <w:vAlign w:val="center"/>
          </w:tcPr>
          <w:p w14:paraId="53494721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47.93%</w:t>
            </w:r>
          </w:p>
        </w:tc>
        <w:tc>
          <w:tcPr>
            <w:tcW w:w="900" w:type="dxa"/>
            <w:vAlign w:val="center"/>
          </w:tcPr>
          <w:p w14:paraId="3D3A9E78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4682" w:type="dxa"/>
            <w:vAlign w:val="center"/>
          </w:tcPr>
          <w:p w14:paraId="0CDE478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仅在给氧时记录。取值全部落在 0.21–1.00，无百分数／小数混用，不需要单位归一。未吸氧者可按室内空气 0.21 补，但这会把大量本无呼吸问题的患者推入 P/F 计算，需明确标注该假设。</w:t>
            </w:r>
          </w:p>
        </w:tc>
      </w:tr>
      <w:tr w14:paraId="606702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5F4BC26C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MechVent</w:t>
            </w:r>
          </w:p>
          <w:p w14:paraId="786E8D69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呼吸支持</w:t>
            </w:r>
          </w:p>
        </w:tc>
        <w:tc>
          <w:tcPr>
            <w:tcW w:w="900" w:type="dxa"/>
            <w:vAlign w:val="center"/>
          </w:tcPr>
          <w:p w14:paraId="4433EFBA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91,644</w:t>
            </w:r>
          </w:p>
        </w:tc>
        <w:tc>
          <w:tcPr>
            <w:tcW w:w="850" w:type="dxa"/>
            <w:vAlign w:val="center"/>
          </w:tcPr>
          <w:p w14:paraId="178092B5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36.83%</w:t>
            </w:r>
          </w:p>
        </w:tc>
        <w:tc>
          <w:tcPr>
            <w:tcW w:w="850" w:type="dxa"/>
            <w:vAlign w:val="center"/>
          </w:tcPr>
          <w:p w14:paraId="3A88DEF4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40.22%</w:t>
            </w:r>
          </w:p>
        </w:tc>
        <w:tc>
          <w:tcPr>
            <w:tcW w:w="850" w:type="dxa"/>
            <w:vAlign w:val="center"/>
          </w:tcPr>
          <w:p w14:paraId="2FDE0F22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51.02%</w:t>
            </w:r>
          </w:p>
        </w:tc>
        <w:tc>
          <w:tcPr>
            <w:tcW w:w="900" w:type="dxa"/>
            <w:vAlign w:val="center"/>
          </w:tcPr>
          <w:p w14:paraId="74F752A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4682" w:type="dxa"/>
            <w:vAlign w:val="center"/>
          </w:tcPr>
          <w:p w14:paraId="4F2BDA6A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91,644 行取值全部为 1，没有一行 0。这是「该时点在机械通气」的事件打点，缺失即未打点，不能解读为「明确未通气」。SOFA 3–4 分的呼吸支持闸只能退化为「该窗口内是否出现过 MechVent」。</w:t>
            </w:r>
          </w:p>
        </w:tc>
      </w:tr>
      <w:tr w14:paraId="37F3AD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6AD4FB5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SaO₂</w:t>
            </w:r>
          </w:p>
          <w:p w14:paraId="07BB4074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（S/F 替代）</w:t>
            </w:r>
          </w:p>
        </w:tc>
        <w:tc>
          <w:tcPr>
            <w:tcW w:w="900" w:type="dxa"/>
            <w:vAlign w:val="center"/>
          </w:tcPr>
          <w:p w14:paraId="35A461C1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23,983</w:t>
            </w:r>
          </w:p>
        </w:tc>
        <w:tc>
          <w:tcPr>
            <w:tcW w:w="850" w:type="dxa"/>
            <w:vAlign w:val="center"/>
          </w:tcPr>
          <w:p w14:paraId="7E470B1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55.27%</w:t>
            </w:r>
          </w:p>
        </w:tc>
        <w:tc>
          <w:tcPr>
            <w:tcW w:w="850" w:type="dxa"/>
            <w:vAlign w:val="center"/>
          </w:tcPr>
          <w:p w14:paraId="06826E38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62.08%</w:t>
            </w:r>
          </w:p>
        </w:tc>
        <w:tc>
          <w:tcPr>
            <w:tcW w:w="850" w:type="dxa"/>
            <w:vAlign w:val="center"/>
          </w:tcPr>
          <w:p w14:paraId="54CB189C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72.41%</w:t>
            </w:r>
          </w:p>
        </w:tc>
        <w:tc>
          <w:tcPr>
            <w:tcW w:w="900" w:type="dxa"/>
            <w:vAlign w:val="center"/>
          </w:tcPr>
          <w:p w14:paraId="0E7BF057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4682" w:type="dxa"/>
            <w:vAlign w:val="center"/>
          </w:tcPr>
          <w:p w14:paraId="43C00103">
            <w:pPr>
              <w:spacing w:after="0" w:line="240" w:lineRule="auto"/>
              <w:rPr>
                <w:rFonts w:hint="eastAsia"/>
              </w:rPr>
            </w:pPr>
            <w:r>
              <w:rPr>
                <w:sz w:val="17"/>
                <w:lang w:eastAsia="zh-CN"/>
              </w:rPr>
              <w:t>库中为血红蛋白氧饱和度，未明确标注为脉搏血氧 SpO₂，不可未经验证直接当 S/F 使用。且 S/F 仅在 SpO₂ ≤ 97% 时与 P/F 保持线性，可用样本进一步降到 18.4%——本数据集里 S/F 补不了 P/F 的缺口。</w:t>
            </w:r>
            <w:r>
              <w:rPr>
                <w:sz w:val="17"/>
              </w:rPr>
              <w:t>2 行 SaO₂ = 0 为伪值。</w:t>
            </w:r>
          </w:p>
        </w:tc>
      </w:tr>
      <w:tr w14:paraId="1FA4F5B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1A633A4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Bilirubin</w:t>
            </w:r>
          </w:p>
          <w:p w14:paraId="6BBF9AF2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肝</w:t>
            </w:r>
          </w:p>
        </w:tc>
        <w:tc>
          <w:tcPr>
            <w:tcW w:w="900" w:type="dxa"/>
            <w:vAlign w:val="center"/>
          </w:tcPr>
          <w:p w14:paraId="30A817FF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9,807</w:t>
            </w:r>
          </w:p>
        </w:tc>
        <w:tc>
          <w:tcPr>
            <w:tcW w:w="850" w:type="dxa"/>
            <w:vAlign w:val="center"/>
          </w:tcPr>
          <w:p w14:paraId="3BAD62A3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56.55%</w:t>
            </w:r>
          </w:p>
        </w:tc>
        <w:tc>
          <w:tcPr>
            <w:tcW w:w="850" w:type="dxa"/>
            <w:vAlign w:val="center"/>
          </w:tcPr>
          <w:p w14:paraId="05ADC842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62.36%</w:t>
            </w:r>
          </w:p>
        </w:tc>
        <w:tc>
          <w:tcPr>
            <w:tcW w:w="850" w:type="dxa"/>
            <w:vAlign w:val="center"/>
          </w:tcPr>
          <w:p w14:paraId="76E83290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78.26%</w:t>
            </w:r>
          </w:p>
        </w:tc>
        <w:tc>
          <w:tcPr>
            <w:tcW w:w="900" w:type="dxa"/>
            <w:vAlign w:val="center"/>
          </w:tcPr>
          <w:p w14:paraId="44E8AD0E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4682" w:type="dxa"/>
            <w:vAlign w:val="center"/>
          </w:tcPr>
          <w:p w14:paraId="2D43DDE9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缺失率最高，且 Day 2 显著高于 Day 1。肝功能非每日常规，通常入 ICU 时查一次基线；胆红素相对肝损伤本身有 24–48 h 滞后，非急性肝损伤情况下不重复开单。故：全程无记录按 0 分处理；第二窗口无记录按上一窗口末次值前向填充（LOCF），而非按缺失——这与「不再复查」通常意味着「上次结果不担忧」的临床行为一致。</w:t>
            </w:r>
          </w:p>
        </w:tc>
      </w:tr>
      <w:tr w14:paraId="50459A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90" w:type="dxa"/>
            <w:bottom w:w="60" w:type="dxa"/>
            <w:right w:w="90" w:type="dxa"/>
          </w:tblCellMar>
        </w:tblPrEx>
        <w:trPr>
          <w:cantSplit/>
          <w:jc w:val="center"/>
        </w:trPr>
        <w:tc>
          <w:tcPr>
            <w:tcW w:w="1250" w:type="dxa"/>
            <w:vAlign w:val="center"/>
          </w:tcPr>
          <w:p w14:paraId="1673E8B8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7"/>
              </w:rPr>
              <w:t>P/F 比值（派生）</w:t>
            </w:r>
          </w:p>
          <w:p w14:paraId="77B38FE4">
            <w:pPr>
              <w:spacing w:after="0" w:line="240" w:lineRule="auto"/>
              <w:rPr>
                <w:rFonts w:hint="eastAsia"/>
              </w:rPr>
            </w:pPr>
            <w:r>
              <w:rPr>
                <w:color w:val="595959"/>
                <w:sz w:val="15"/>
              </w:rPr>
              <w:t>呼吸</w:t>
            </w:r>
          </w:p>
        </w:tc>
        <w:tc>
          <w:tcPr>
            <w:tcW w:w="900" w:type="dxa"/>
            <w:vAlign w:val="center"/>
          </w:tcPr>
          <w:p w14:paraId="3EA40EBF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51,490 对</w:t>
            </w:r>
          </w:p>
        </w:tc>
        <w:tc>
          <w:tcPr>
            <w:tcW w:w="850" w:type="dxa"/>
            <w:vAlign w:val="center"/>
          </w:tcPr>
          <w:p w14:paraId="36D6850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38.58%</w:t>
            </w:r>
          </w:p>
        </w:tc>
        <w:tc>
          <w:tcPr>
            <w:tcW w:w="850" w:type="dxa"/>
            <w:vAlign w:val="center"/>
          </w:tcPr>
          <w:p w14:paraId="5EBA8754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43.26%</w:t>
            </w:r>
          </w:p>
        </w:tc>
        <w:tc>
          <w:tcPr>
            <w:tcW w:w="850" w:type="dxa"/>
            <w:vAlign w:val="center"/>
          </w:tcPr>
          <w:p w14:paraId="34E6924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58.06%</w:t>
            </w:r>
          </w:p>
        </w:tc>
        <w:tc>
          <w:tcPr>
            <w:tcW w:w="900" w:type="dxa"/>
            <w:vAlign w:val="center"/>
          </w:tcPr>
          <w:p w14:paraId="0C86BC29">
            <w:pPr>
              <w:spacing w:after="0" w:line="240" w:lineRule="auto"/>
              <w:jc w:val="right"/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4682" w:type="dxa"/>
            <w:vAlign w:val="center"/>
          </w:tcPr>
          <w:p w14:paraId="27ED28DE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须同一窗口内 PaO₂ 与 FiO₂ 可配对才能计算（本项目取时间差 ≤ 2 h 的最近一条）。Day 1 只有 56.7% 的记录至少能配出一对，这是呼吸项实际可计分率的上界，低于 PaO₂ 单项的覆盖率。</w:t>
            </w:r>
          </w:p>
        </w:tc>
      </w:tr>
    </w:tbl>
    <w:p w14:paraId="19420FE8">
      <w:pPr>
        <w:spacing w:before="60" w:after="80"/>
        <w:rPr>
          <w:rFonts w:hint="eastAsia"/>
          <w:lang w:eastAsia="zh-CN"/>
        </w:rPr>
      </w:pPr>
      <w:r>
        <w:rPr>
          <w:b/>
          <w:sz w:val="17"/>
        </w:rPr>
        <w:t>注（重要）：</w:t>
      </w:r>
      <w:r>
        <w:rPr>
          <w:sz w:val="17"/>
        </w:rPr>
        <w:t>生理不可能值需在计分前剔除——MAP = 0（86 行）、PaO₂ = 0（3 行）、SaO₂ = 0（2 行）、Weight ≤ 20 kg（353 行）、Height &lt; 100 cm（17 行）或 &gt; 250 cm（11 行）。</w:t>
      </w:r>
      <w:r>
        <w:rPr>
          <w:sz w:val="17"/>
          <w:lang w:eastAsia="zh-CN"/>
        </w:rPr>
        <w:t>这些是波形脱落或录入错误，</w:t>
      </w:r>
      <w:r>
        <w:rPr>
          <w:b/>
          <w:sz w:val="17"/>
          <w:lang w:eastAsia="zh-CN"/>
        </w:rPr>
        <w:t>不是 -1 哨兵</w:t>
      </w:r>
      <w:r>
        <w:rPr>
          <w:sz w:val="17"/>
          <w:lang w:eastAsia="zh-CN"/>
        </w:rPr>
        <w:t>，按有效值处理会直接改变分档。</w:t>
      </w:r>
    </w:p>
    <w:p w14:paraId="1668F5A0">
      <w:pPr>
        <w:spacing w:after="200"/>
        <w:rPr>
          <w:rFonts w:hint="eastAsia"/>
          <w:lang w:eastAsia="zh-CN"/>
        </w:rPr>
      </w:pPr>
      <w:r>
        <w:rPr>
          <w:color w:val="595959"/>
          <w:sz w:val="17"/>
          <w:lang w:eastAsia="zh-CN"/>
        </w:rPr>
        <w:t>另注：另有 1,594 条记录中共 2,403 行的 Parameter 字段为空串（形如 02:08,,3.1），取值分布与 Albumin 几乎重合，疑为标签丢失的 Albumin。Albumin 不参与 SOFA 计分，但解析时应显式丢弃空参数名行，否则会污染参数清单。outcomes.csv 中 SOFA = -1 者 403 条（3.36%）、SAPS-I = -1 者 518 条（4.32%），做复现对照时须先剔除。</w:t>
      </w:r>
    </w:p>
    <w:p w14:paraId="53A3B365">
      <w:pPr>
        <w:spacing w:after="60"/>
        <w:rPr>
          <w:rFonts w:hint="eastAsia"/>
          <w:lang w:eastAsia="zh-CN"/>
        </w:rPr>
      </w:pPr>
      <w:r>
        <w:rPr>
          <w:b/>
          <w:sz w:val="19"/>
          <w:lang w:eastAsia="zh-CN"/>
        </w:rPr>
        <w:t>图 1  每条记录的 SOFA 指标可得性与采样密度（n = 12,000）</w:t>
      </w:r>
    </w:p>
    <w:p w14:paraId="4A261357">
      <w:pPr>
        <w:spacing w:after="60"/>
        <w:jc w:val="center"/>
        <w:rPr>
          <w:rFonts w:hint="eastAsia"/>
        </w:rPr>
      </w:pPr>
      <w:r>
        <w:drawing>
          <wp:inline distT="0" distB="0" distL="0" distR="0">
            <wp:extent cx="6119495" cy="393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3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CECB">
      <w:pPr>
        <w:spacing w:after="240"/>
        <w:rPr>
          <w:rFonts w:hint="eastAsia"/>
          <w:lang w:eastAsia="zh-CN"/>
        </w:rPr>
      </w:pPr>
      <w:r>
        <w:rPr>
          <w:color w:val="595959"/>
          <w:sz w:val="17"/>
          <w:lang w:eastAsia="zh-CN"/>
        </w:rPr>
        <w:t>A  各指标在 Day 1 与 Day 2 窗口内的记录级缺失率，按 Day 1 缺失率升序排列；缺失＝该记录在该窗口内无任何有效值。B  Day 1 窗口内每条记录的测量次数分布，横轴为 log₁₀(次数+1) 刻度；箱体为 P25–P75，竖线与右侧数字为中位数，须端为 P95；仅统计该窗口内有记录的病例，缺失病例（即 A 图对应的比例）不计入，否则中位数会被零值压平。两图共用同一纵轴排序，可左右对读：缺失率越高的指标，其采样密度通常也越稀疏；唯一的例外是 Weight——它缺失率低但次数分布极宽，因为体重既作为入院描述记录一次、又作为时变量不定期复称。</w:t>
      </w:r>
    </w:p>
    <w:p w14:paraId="4CCA0196">
      <w:pPr>
        <w:pStyle w:val="3"/>
      </w:pPr>
      <w:r>
        <w:t>八 26 例与 outcomes.SOFA 的对照</w:t>
      </w:r>
    </w:p>
    <w:p w14:paraId="7CABA809">
      <w:pPr>
        <w:spacing w:line="300" w:lineRule="auto"/>
        <w:ind w:firstLine="420"/>
        <w:rPr>
          <w:rFonts w:hint="eastAsia"/>
          <w:lang w:eastAsia="zh-CN"/>
        </w:rPr>
      </w:pPr>
      <w:r>
        <w:t>下表同时保留 outcomes.SOFA、Day 1、Day 2 和前 48 小时最高 SOFA。48 小时最高值等于 max(Day 1, Day 2)。</w:t>
      </w:r>
      <w:r>
        <w:rPr>
          <w:lang w:eastAsia="zh-CN"/>
        </w:rPr>
        <w:t>outcome 为 -1 表示标签缺失，不纳入误差统计。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1944"/>
        <w:gridCol w:w="1224"/>
        <w:gridCol w:w="1224"/>
        <w:gridCol w:w="1728"/>
        <w:gridCol w:w="2160"/>
      </w:tblGrid>
      <w:tr w14:paraId="7ABD018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5A6B9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RecordID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DE3F5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outcomes.SOFA</w:t>
            </w:r>
          </w:p>
        </w:tc>
        <w:tc>
          <w:tcPr>
            <w:tcW w:w="122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000D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Day 1</w:t>
            </w:r>
          </w:p>
        </w:tc>
        <w:tc>
          <w:tcPr>
            <w:tcW w:w="122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DCA1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Day 2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FC4C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48 h 最高</w:t>
            </w:r>
          </w:p>
        </w:tc>
        <w:tc>
          <w:tcPr>
            <w:tcW w:w="216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CE51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最高值减标签</w:t>
            </w:r>
          </w:p>
        </w:tc>
      </w:tr>
      <w:tr w14:paraId="3515556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1CE3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100001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1438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8CF0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A83A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A58A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48634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+1</w:t>
            </w:r>
          </w:p>
        </w:tc>
      </w:tr>
      <w:tr w14:paraId="2EB4E3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9927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100002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43DA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E6E3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6E41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8EB2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1CB6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</w:tr>
      <w:tr w14:paraId="0E69FC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A1D1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100003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8AF42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4DB6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2AFF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5D95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EEDE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-2</w:t>
            </w:r>
          </w:p>
        </w:tc>
      </w:tr>
      <w:tr w14:paraId="47719C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E79E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100004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811C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DC36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CFE6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9C9E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2A99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20DA06E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11B4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100005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15FF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C796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2E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377B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4666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7323DB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7218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100006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DD64E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175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E00A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C1DF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5C2E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-3</w:t>
            </w:r>
          </w:p>
        </w:tc>
      </w:tr>
      <w:tr w14:paraId="278C42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9B7E4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100007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4911B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84BE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C06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8AB6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33CB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717D3A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76BD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100008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04A3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C855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40E2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3FED2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A864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+3</w:t>
            </w:r>
          </w:p>
        </w:tc>
      </w:tr>
      <w:tr w14:paraId="2B1730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2F183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100009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0AD5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7388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05CE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9A75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4C99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NA</w:t>
            </w:r>
          </w:p>
        </w:tc>
      </w:tr>
      <w:tr w14:paraId="4F062B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8EFB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100010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FEF0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1D34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4498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592F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4D0A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NA</w:t>
            </w:r>
          </w:p>
        </w:tc>
      </w:tr>
      <w:tr w14:paraId="58D12C4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AFA5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100011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23784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957D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BA11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0660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6A62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</w:tr>
      <w:tr w14:paraId="3343EA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CF21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100012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13D9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3C76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5B1A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C470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DB3B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+1</w:t>
            </w:r>
          </w:p>
        </w:tc>
      </w:tr>
      <w:tr w14:paraId="498896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EFF8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100013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CD8A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10C0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78F0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716F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292BF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7B03A7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3A83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100014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8375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DEFE4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CD100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ECC58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2452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4A8810C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6A47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100015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0936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3509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F6EAF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0341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F9FDB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3CE0E2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8895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100016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8DF4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59EA5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7F5BF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7656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9D80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-3</w:t>
            </w:r>
          </w:p>
        </w:tc>
      </w:tr>
      <w:tr w14:paraId="7C849E5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7BCA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100017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D823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9B4F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FABD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1121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060F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36371E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AB1A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100018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DB22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93AC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8069E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C016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E029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</w:tr>
      <w:tr w14:paraId="39656D5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A6F7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100019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3D00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13AB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58C7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9935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6EED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7CFF64C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0AE8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100020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D31CB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0BB5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20184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0388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6747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+2</w:t>
            </w:r>
          </w:p>
        </w:tc>
      </w:tr>
      <w:tr w14:paraId="4219F59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B0FA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100021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5156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3A54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74D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7A3C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358F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38E324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EFA29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100022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D0A3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DC2F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D2F2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7F36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2257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14:paraId="1B9C8C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F170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100023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2609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0A25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034C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7BF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1FCD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-1</w:t>
            </w:r>
          </w:p>
        </w:tc>
      </w:tr>
      <w:tr w14:paraId="548A09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955B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100024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BA5A3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30EA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5D20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86C9E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BA23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-4</w:t>
            </w:r>
          </w:p>
        </w:tc>
      </w:tr>
      <w:tr w14:paraId="2D047A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97282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100025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B5BE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2FB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2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D8E8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154A5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8E6A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+1</w:t>
            </w:r>
          </w:p>
        </w:tc>
      </w:tr>
      <w:tr w14:paraId="281AEE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F88A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100026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B96D7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A4EE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22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2669C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475552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2526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-4</w:t>
            </w:r>
          </w:p>
        </w:tc>
      </w:tr>
    </w:tbl>
    <w:p w14:paraId="2C2A90D5">
      <w:pPr>
        <w:keepNext/>
        <w:spacing w:before="120" w:after="80"/>
        <w:rPr>
          <w:rFonts w:hint="eastAsia"/>
        </w:rPr>
      </w:pPr>
      <w:r>
        <w:rPr>
          <w:b/>
          <w:color w:val="404040"/>
          <w:sz w:val="19"/>
        </w:rPr>
        <w:t>对照结果摘要</w:t>
      </w:r>
    </w:p>
    <w:tbl>
      <w:tblPr>
        <w:tblStyle w:val="32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2016"/>
        <w:gridCol w:w="2592"/>
        <w:gridCol w:w="1944"/>
        <w:gridCol w:w="1728"/>
      </w:tblGrid>
      <w:tr w14:paraId="0DF96A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312BE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计算口径</w:t>
            </w:r>
          </w:p>
        </w:tc>
        <w:tc>
          <w:tcPr>
            <w:tcW w:w="2016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F2FB4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完全一致</w:t>
            </w:r>
          </w:p>
        </w:tc>
        <w:tc>
          <w:tcPr>
            <w:tcW w:w="2592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EE787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相差不超过 1 分</w:t>
            </w:r>
          </w:p>
        </w:tc>
        <w:tc>
          <w:tcPr>
            <w:tcW w:w="1944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24EEE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平均绝对误差</w:t>
            </w:r>
          </w:p>
        </w:tc>
        <w:tc>
          <w:tcPr>
            <w:tcW w:w="1728" w:type="dxa"/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CD021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Pearson r</w:t>
            </w:r>
          </w:p>
        </w:tc>
      </w:tr>
      <w:tr w14:paraId="2E3523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9AD2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Day 1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3EB2F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13/24 54.2%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2514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18/24 75.0%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3E2AA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1.000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B422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0.913</w:t>
            </w:r>
          </w:p>
        </w:tc>
      </w:tr>
      <w:tr w14:paraId="3F35047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6A66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Day 2</w:t>
            </w:r>
          </w:p>
        </w:tc>
        <w:tc>
          <w:tcPr>
            <w:tcW w:w="2016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B31F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6/24 25.0%</w:t>
            </w:r>
          </w:p>
        </w:tc>
        <w:tc>
          <w:tcPr>
            <w:tcW w:w="2592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96598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11/24 45.8%</w:t>
            </w:r>
          </w:p>
        </w:tc>
        <w:tc>
          <w:tcPr>
            <w:tcW w:w="1944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B31FD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2.208</w:t>
            </w:r>
          </w:p>
        </w:tc>
        <w:tc>
          <w:tcPr>
            <w:tcW w:w="1728" w:type="dxa"/>
            <w:shd w:val="clear" w:color="auto" w:fill="F3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9927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0.708</w:t>
            </w:r>
          </w:p>
        </w:tc>
      </w:tr>
      <w:tr w14:paraId="5B89269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8771B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48 h 最高</w:t>
            </w:r>
          </w:p>
        </w:tc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E4404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10/24 41.7%</w:t>
            </w:r>
          </w:p>
        </w:tc>
        <w:tc>
          <w:tcPr>
            <w:tcW w:w="25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41503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17/24 70.8%</w:t>
            </w:r>
          </w:p>
        </w:tc>
        <w:tc>
          <w:tcPr>
            <w:tcW w:w="19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6D979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1.167</w:t>
            </w:r>
          </w:p>
        </w:tc>
        <w:tc>
          <w:tcPr>
            <w:tcW w:w="17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1D870">
            <w:pPr>
              <w:spacing w:after="0" w:line="259" w:lineRule="auto"/>
              <w:jc w:val="center"/>
              <w:rPr>
                <w:rFonts w:hint="eastAsia"/>
              </w:rPr>
            </w:pPr>
            <w:r>
              <w:rPr>
                <w:sz w:val="17"/>
              </w:rPr>
              <w:t>0.889</w:t>
            </w:r>
          </w:p>
        </w:tc>
      </w:tr>
    </w:tbl>
    <w:p w14:paraId="379A49E5">
      <w:pPr>
        <w:spacing w:line="300" w:lineRule="auto"/>
        <w:ind w:firstLine="420"/>
        <w:rPr>
          <w:rFonts w:hint="eastAsia"/>
          <w:lang w:eastAsia="zh-CN"/>
        </w:rPr>
      </w:pPr>
      <w:r>
        <w:t>Day 1 与 outcomes.SOFA 的样本一致性最好，但这不改变 48 小时最高 SOFA 的定义。差异主要来自数据没有升压药剂量，以及 PaO2、FiO2、MechVent 和尿量记录不完全同步。</w:t>
      </w:r>
      <w:r>
        <w:rPr>
          <w:lang w:eastAsia="zh-CN"/>
        </w:rPr>
        <w:t>因此三种计算结果都应保留，不应用其中一个覆盖其他字段。</w:t>
      </w:r>
    </w:p>
    <w:p w14:paraId="3511A445">
      <w:pPr>
        <w:pStyle w:val="3"/>
      </w:pPr>
      <w:r>
        <w:t>九 最终建议</w:t>
      </w:r>
    </w:p>
    <w:p w14:paraId="00D7A8E3">
      <w:pPr>
        <w:spacing w:line="300" w:lineRule="auto"/>
        <w:ind w:firstLine="420"/>
        <w:rPr>
          <w:rFonts w:hint="eastAsia"/>
        </w:rPr>
      </w:pPr>
      <w:r>
        <w:rPr>
          <w:b/>
        </w:rPr>
        <w:t>最终至少生成三个字段：</w:t>
      </w:r>
      <w:r>
        <w:t>SOFA_D1、SOFA_D2 和 SOFA_48h_max，其中 SOFA_48h_max = max(SOFA_D1, SOFA_D2)。SOFA_D1 用于复现和对照现有 outcomes.SOFA；SOFA_48h_max 用于表示患者前 48 小时内的最高日 SOFA。两者定义不同，应同时报告。</w:t>
      </w:r>
    </w:p>
    <w:p w14:paraId="6C76BA52">
      <w:pPr>
        <w:spacing w:before="120" w:after="60"/>
        <w:rPr>
          <w:rFonts w:hint="eastAsia"/>
          <w:lang w:eastAsia="zh-CN"/>
        </w:rPr>
      </w:pPr>
      <w:r>
        <w:rPr>
          <w:b/>
          <w:lang w:eastAsia="zh-CN"/>
        </w:rPr>
        <w:t>数据完整性结论</w:t>
      </w:r>
    </w:p>
    <w:p w14:paraId="21D6BBED">
      <w:pPr>
        <w:rPr>
          <w:rFonts w:hint="eastAsia"/>
          <w:lang w:eastAsia="zh-CN"/>
        </w:rPr>
      </w:pPr>
      <w:r>
        <w:rPr>
          <w:lang w:eastAsia="zh-CN"/>
        </w:rPr>
        <w:t>按 SOFA-1（2021–2023 临床通用口径）判门类：六个系统里五个的指标门类齐全，心血管系统不齐。数据集完全没有升压药／正性肌力药的名称与剂量字段（多巴胺、多巴酚丁胺、肾上腺素、去甲肾上腺素均不存在），心血管项因此只能落在 0–1 分，2–4 分档结构性不可达。呼吸系统门类齐全但有降级：MechVent 全库 91,644 行取值恒为 1，没有一行 0，因此它是「曾经上机」的存在性标志，不是逐时点的通气状态。</w:t>
      </w:r>
    </w:p>
    <w:p w14:paraId="45F433E9">
      <w:pPr>
        <w:rPr>
          <w:rFonts w:hint="eastAsia"/>
          <w:lang w:eastAsia="zh-CN"/>
        </w:rPr>
      </w:pPr>
      <w:r>
        <w:rPr>
          <w:lang w:eastAsia="zh-CN"/>
        </w:rPr>
        <w:t xml:space="preserve">SOFA-2 </w:t>
      </w:r>
      <w:r>
        <w:rPr>
          <w:rFonts w:hint="eastAsia"/>
          <w:lang w:eastAsia="zh-CN"/>
        </w:rPr>
        <w:t>相关数据</w:t>
      </w:r>
      <w:r>
        <w:rPr>
          <w:lang w:eastAsia="zh-CN"/>
        </w:rPr>
        <w:t>：新增要求的六类指标中，只有体重（用于尿量速率）和 SpO₂ 存在，ECMO、机械循环支持、RRT／透析、谵妄状态、高级通气支持分级五类完全缺失，SOFA-2 在本数据集上无法完整实现。考虑到本数据采集于 20</w:t>
      </w:r>
      <w:r>
        <w:rPr>
          <w:rFonts w:hint="eastAsia"/>
          <w:lang w:eastAsia="zh-CN"/>
        </w:rPr>
        <w:t>21</w:t>
      </w:r>
      <w:r>
        <w:rPr>
          <w:lang w:eastAsia="zh-CN"/>
        </w:rPr>
        <w:t xml:space="preserve"> 年前后、临床口径对应 SOFA-1，本文档的计分仍以 SOFA-1 为准，SOFA-2 </w:t>
      </w:r>
      <w:r>
        <w:rPr>
          <w:rFonts w:hint="eastAsia"/>
          <w:lang w:eastAsia="zh-CN"/>
        </w:rPr>
        <w:t>可用作后续模型在特征选择时的重要参考。</w:t>
      </w:r>
    </w:p>
    <w:p w14:paraId="4478500E">
      <w:pPr>
        <w:spacing w:after="120"/>
        <w:rPr>
          <w:rFonts w:hint="eastAsia"/>
          <w:lang w:eastAsia="zh-CN"/>
        </w:rPr>
      </w:pPr>
      <w:r>
        <w:rPr>
          <w:lang w:eastAsia="zh-CN"/>
        </w:rPr>
        <w:t>只有 22.0% 的记录在 Day 1 能凑齐全部六个系统的原始指标（Day 2 为 12.2%）。若采用「任一分项缺失则总分缺失」的严格版本，可用样本会从 12,000 条降到约 2,640 条。这说明第五节「某系统完全缺失时按 0 分求和、同时保留缺失标记」的折中是必要的，但它只是最简易的一种插补——把「未测量」一律等同于「未见异常」。实际处理应逐指标结合各自的临床 domain 与记录 context 分别定义：常规高频监测项（GCS、肌酐、尿量、MAP）的缺失多属随机，可直接插补；按临床指征开单项（PaO₂、FiO₂、胆红素）的缺失本身携带信息，宜按正常值插补并保留缺失标记；跨窗未复测项（胆红素、体重）宜用末次观测前移（LOCF），并设定可解释的最长前移时限；而升压药、ECMO、RRT、谵妄属结构性缺字段，不能用正常值「补齐」，只能在方法学上声明相应分档不可达。无论采用哪种口径，缺失标记都必须一路带到下游模型，并同时报告严格版本作为敏感性分析。</w:t>
      </w:r>
    </w:p>
    <w:p w14:paraId="56A3FDD4">
      <w:pPr>
        <w:rPr>
          <w:rFonts w:hint="eastAsia"/>
          <w:lang w:eastAsia="zh-CN"/>
        </w:rPr>
      </w:pPr>
    </w:p>
    <w:p w14:paraId="6C4D9890">
      <w:pPr>
        <w:pStyle w:val="3"/>
      </w:pPr>
      <w:r>
        <w:t>参考文献</w:t>
      </w:r>
    </w:p>
    <w:p w14:paraId="77E2B163">
      <w:pPr>
        <w:spacing w:line="269" w:lineRule="auto"/>
        <w:ind w:left="360" w:hanging="360"/>
        <w:rPr>
          <w:rFonts w:hint="eastAsia"/>
        </w:rPr>
      </w:pPr>
      <w:r>
        <w:rPr>
          <w:sz w:val="18"/>
        </w:rPr>
        <w:t xml:space="preserve">[1] Vincent JL, Moreno R, Takala J, et al. The SOFA score to describe organ dysfunction/failure. Intensive Care Medicine. 1996;22:707-710. doi:10.1007/BF01709751. </w:t>
      </w:r>
      <w:r>
        <w:fldChar w:fldCharType="begin"/>
      </w:r>
      <w:r>
        <w:instrText xml:space="preserve"> HYPERLINK "https://pubmed.ncbi.nlm.nih.gov/8844239/" \h </w:instrText>
      </w:r>
      <w:r>
        <w:fldChar w:fldCharType="separate"/>
      </w:r>
      <w:r>
        <w:rPr>
          <w:color w:val="1F4E78"/>
          <w:u w:val="single"/>
        </w:rPr>
        <w:t>在线来源</w:t>
      </w:r>
      <w:r>
        <w:rPr>
          <w:color w:val="1F4E78"/>
          <w:u w:val="single"/>
        </w:rPr>
        <w:fldChar w:fldCharType="end"/>
      </w:r>
    </w:p>
    <w:p w14:paraId="4EBC2484">
      <w:pPr>
        <w:spacing w:line="269" w:lineRule="auto"/>
        <w:ind w:left="360" w:hanging="360"/>
        <w:rPr>
          <w:rFonts w:hint="eastAsia"/>
        </w:rPr>
      </w:pPr>
      <w:r>
        <w:rPr>
          <w:sz w:val="18"/>
        </w:rPr>
        <w:t xml:space="preserve">[2] Ferreira FL, Bota DP, Bross A, Mélot C, Vincent JL. Serial evaluation of the SOFA score to predict outcome in critically ill patients. JAMA. 2001;286:1754-1758. doi:10.1001/jama.286.14.1754. </w:t>
      </w:r>
      <w:r>
        <w:fldChar w:fldCharType="begin"/>
      </w:r>
      <w:r>
        <w:instrText xml:space="preserve"> HYPERLINK "https://pubmed.ncbi.nlm.nih.gov/11594901/" \h </w:instrText>
      </w:r>
      <w:r>
        <w:fldChar w:fldCharType="separate"/>
      </w:r>
      <w:r>
        <w:rPr>
          <w:color w:val="1F4E78"/>
          <w:u w:val="single"/>
        </w:rPr>
        <w:t>在线来源</w:t>
      </w:r>
      <w:r>
        <w:rPr>
          <w:color w:val="1F4E78"/>
          <w:u w:val="single"/>
        </w:rPr>
        <w:fldChar w:fldCharType="end"/>
      </w:r>
    </w:p>
    <w:p w14:paraId="22D1B80B">
      <w:pPr>
        <w:spacing w:line="269" w:lineRule="auto"/>
        <w:ind w:left="360" w:hanging="360"/>
        <w:rPr>
          <w:rFonts w:hint="eastAsia"/>
        </w:rPr>
      </w:pPr>
      <w:r>
        <w:rPr>
          <w:sz w:val="18"/>
        </w:rPr>
        <w:t xml:space="preserve">[3] Singer M, Deutschman CS, Seymour CW, et al. The Third International Consensus Definitions for Sepsis and Septic Shock. JAMA. 2016;315:801-810. doi:10.1001/jama.2016.0287. </w:t>
      </w:r>
      <w:r>
        <w:fldChar w:fldCharType="begin"/>
      </w:r>
      <w:r>
        <w:instrText xml:space="preserve"> HYPERLINK "https://jamanetwork.com/journals/jama/fullarticle/2492881" \h </w:instrText>
      </w:r>
      <w:r>
        <w:fldChar w:fldCharType="separate"/>
      </w:r>
      <w:r>
        <w:rPr>
          <w:color w:val="1F4E78"/>
          <w:u w:val="single"/>
        </w:rPr>
        <w:t>在线来源</w:t>
      </w:r>
      <w:r>
        <w:rPr>
          <w:color w:val="1F4E78"/>
          <w:u w:val="single"/>
        </w:rPr>
        <w:fldChar w:fldCharType="end"/>
      </w:r>
    </w:p>
    <w:p w14:paraId="628E3A89">
      <w:pPr>
        <w:spacing w:line="269" w:lineRule="auto"/>
        <w:ind w:left="360" w:hanging="360"/>
        <w:rPr>
          <w:rFonts w:hint="eastAsia"/>
        </w:rPr>
      </w:pPr>
      <w:r>
        <w:rPr>
          <w:sz w:val="18"/>
        </w:rPr>
        <w:t xml:space="preserve">[4] Silva I, Moody GB, Scott DJ, Celi LA, Mark RG. Predicting in-hospital mortality of ICU patients: The PhysioNet/Computing in Cardiology Challenge 2012. Computing in Cardiology. 2012;39:245-248. </w:t>
      </w:r>
      <w:r>
        <w:fldChar w:fldCharType="begin"/>
      </w:r>
      <w:r>
        <w:instrText xml:space="preserve"> HYPERLINK "https://physionet.org/files/challenge-2012/1.0.0/papers/0245.pdf" \h </w:instrText>
      </w:r>
      <w:r>
        <w:fldChar w:fldCharType="separate"/>
      </w:r>
      <w:r>
        <w:rPr>
          <w:color w:val="1F4E78"/>
          <w:u w:val="single"/>
        </w:rPr>
        <w:t>在线来源</w:t>
      </w:r>
      <w:r>
        <w:rPr>
          <w:color w:val="1F4E78"/>
          <w:u w:val="single"/>
        </w:rPr>
        <w:fldChar w:fldCharType="end"/>
      </w:r>
    </w:p>
    <w:p w14:paraId="056890FC">
      <w:pPr>
        <w:spacing w:line="269" w:lineRule="auto"/>
        <w:ind w:left="360" w:hanging="360"/>
        <w:rPr>
          <w:rFonts w:hint="eastAsia"/>
        </w:rPr>
      </w:pPr>
      <w:r>
        <w:rPr>
          <w:sz w:val="18"/>
        </w:rPr>
        <w:t xml:space="preserve">[5] PhysioNet. Predicting Mortality of ICU Patients: The PhysioNet Computing in Cardiology Challenge 2012, version 1.0.0. </w:t>
      </w:r>
      <w:r>
        <w:fldChar w:fldCharType="begin"/>
      </w:r>
      <w:r>
        <w:instrText xml:space="preserve"> HYPERLINK "https://physionet.org/content/challenge-2012/1.0.0/" \h </w:instrText>
      </w:r>
      <w:r>
        <w:fldChar w:fldCharType="separate"/>
      </w:r>
      <w:r>
        <w:rPr>
          <w:color w:val="1F4E78"/>
          <w:u w:val="single"/>
        </w:rPr>
        <w:t>在线来源</w:t>
      </w:r>
      <w:r>
        <w:rPr>
          <w:color w:val="1F4E78"/>
          <w:u w:val="single"/>
        </w:rPr>
        <w:fldChar w:fldCharType="end"/>
      </w:r>
    </w:p>
    <w:p w14:paraId="178EC6A7">
      <w:pPr>
        <w:spacing w:after="80"/>
        <w:ind w:left="357" w:hanging="357"/>
        <w:rPr>
          <w:rFonts w:hint="eastAsia"/>
        </w:rPr>
      </w:pPr>
      <w:r>
        <w:rPr>
          <w:sz w:val="18"/>
        </w:rPr>
        <w:t>[6] Ranzani OT, Singer M, Salluh JIF, et al. Development and Validation of the Sequential Organ Failure Assessment (SOFA)-2 Score. JAMA. 2025;334(23):2090-2103. doi:10.1001/jama.2025.20516. PMID: 41159833.  https://jamanetwork.com/journals/jama/fullarticle/2840822</w:t>
      </w:r>
    </w:p>
    <w:p w14:paraId="5B67A37F">
      <w:pPr>
        <w:spacing w:after="80"/>
        <w:ind w:left="357" w:hanging="357"/>
        <w:rPr>
          <w:rFonts w:hint="eastAsia"/>
        </w:rPr>
      </w:pPr>
      <w:r>
        <w:rPr>
          <w:sz w:val="18"/>
        </w:rPr>
        <w:t>[7] Moreno R, Rhodes A, Ranzani O, et al. Rationale and Methodological Approach Underlying the Development of the Sequential Organ Failure Assessment (SOFA)-2 Score: A Consensus Statement. JAMA Netw Open. 2025;8(10):e2545040. doi:10.1001/jamanetworkopen.2025.45040. PMID: 41159829.  https://jamanetwork.com/journals/jamanetworkopen/fullarticle/2840786</w:t>
      </w:r>
    </w:p>
    <w:p w14:paraId="31F82D22">
      <w:pPr>
        <w:spacing w:after="80"/>
        <w:ind w:left="357" w:hanging="357"/>
        <w:rPr>
          <w:rFonts w:hint="eastAsia"/>
        </w:rPr>
      </w:pPr>
      <w:r>
        <w:rPr>
          <w:sz w:val="18"/>
        </w:rPr>
        <w:t>[8] Vincent JL, de Mendonça A, Cantraine F, et al. Use of the SOFA score to assess the incidence of organ dysfunction/failure in intensive care units: results of a multicenter, prospective study. Crit Care Med. 1998;26(11):1793-1800.</w:t>
      </w:r>
    </w:p>
    <w:p w14:paraId="18E83DB5">
      <w:pPr>
        <w:spacing w:after="80"/>
        <w:ind w:left="357" w:hanging="357"/>
        <w:rPr>
          <w:rFonts w:hint="eastAsia"/>
        </w:rPr>
      </w:pPr>
      <w:r>
        <w:rPr>
          <w:sz w:val="18"/>
        </w:rPr>
        <w:t>[9] Rice TW, Wheeler AP, Bernard GR, et al. Comparison of the SpO2/FIO2 ratio and the PaO2/FIO2 ratio in patients with acute lung injury or ARDS. Chest. 2007;132(2):410-417.  （S/F 仅在 SpO₂ ≤ 97% 时与 P/F 线性，表 2 的 S/F 可用性约束据此设定）</w:t>
      </w:r>
    </w:p>
    <w:p w14:paraId="2093FFC1">
      <w:pPr>
        <w:spacing w:after="80"/>
        <w:ind w:left="357" w:hanging="357"/>
        <w:rPr>
          <w:rFonts w:hint="eastAsia"/>
        </w:rPr>
      </w:pPr>
      <w:r>
        <w:rPr>
          <w:sz w:val="18"/>
        </w:rPr>
        <w:t>[10] Pandharipande PP, Shintani AK, Hagerman HE, et al. Derivation and validation of SpO2/FiO2 ratio to impute for PaO2/FiO2 ratio in the respiratory component of the SOFA score. Crit Care Med. 2009;37(4):1317-1321. PMID: 19242333.</w:t>
      </w:r>
    </w:p>
    <w:p w14:paraId="68C74F06">
      <w:pPr>
        <w:spacing w:after="80"/>
        <w:ind w:left="357" w:hanging="357"/>
        <w:rPr>
          <w:rFonts w:hint="eastAsia"/>
        </w:rPr>
      </w:pPr>
      <w:r>
        <w:rPr>
          <w:sz w:val="18"/>
        </w:rPr>
        <w:t>[11] KDIGO Acute Kidney Injury Work Group. KDIGO Clinical Practice Guideline for Acute Kidney Injury. Kidney Int Suppl. 2012;2(1):1-138.  （SOFA-2 肾脏项的 &lt;0.5 mL/kg/h×6–12 h、&lt;0.3 mL/kg/h×≥24 h、无尿 ≥12 h 三档尿量口径源出于此）</w:t>
      </w:r>
    </w:p>
    <w:p w14:paraId="412F970F">
      <w:pPr>
        <w:spacing w:after="80"/>
        <w:ind w:left="357" w:hanging="357"/>
        <w:rPr>
          <w:rFonts w:hint="eastAsia"/>
          <w:lang w:eastAsia="zh-CN"/>
        </w:rPr>
      </w:pPr>
      <w:r>
        <w:rPr>
          <w:sz w:val="18"/>
        </w:rPr>
        <w:t xml:space="preserve">[12] Ely EW, Inouye SK, Bernard GR, et al. Delirium in mechanically ventilated patients: validity and reliability of the Confusion Assessment Method for the ICU (CAM-ICU). </w:t>
      </w:r>
      <w:r>
        <w:rPr>
          <w:sz w:val="18"/>
          <w:lang w:eastAsia="zh-CN"/>
        </w:rPr>
        <w:t>JAMA. 2001;286(21):2703-2710.  （SOFA-2 脑项谵妄支路所需的评估工具，本数据集无对应字段）</w:t>
      </w:r>
    </w:p>
    <w:p w14:paraId="59C2FA48">
      <w:pPr>
        <w:spacing w:after="80"/>
        <w:ind w:left="357" w:hanging="357"/>
        <w:rPr>
          <w:rFonts w:hint="eastAsia"/>
        </w:rPr>
      </w:pPr>
      <w:r>
        <w:rPr>
          <w:sz w:val="18"/>
        </w:rPr>
        <w:t>[13] Goldberger AL, Amaral LAN, Glass L, et al. PhysioBank, PhysioToolkit, and PhysioNet: components of a new research resource for complex physiologic signals. Circulation. 2000;101(23):e215-e220.</w:t>
      </w:r>
    </w:p>
    <w:sectPr>
      <w:footerReference r:id="rId5" w:type="default"/>
      <w:pgSz w:w="12240" w:h="15840"/>
      <w:pgMar w:top="936" w:right="979" w:bottom="936" w:left="9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781E9">
    <w:pPr>
      <w:pStyle w:val="24"/>
      <w:jc w:val="center"/>
      <w:rPr>
        <w:rFonts w:hint="eastAsia"/>
      </w:rPr>
    </w:pPr>
    <w:r>
      <w:rPr>
        <w:color w:val="40404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color w:val="40404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6AD2"/>
    <w:rsid w:val="0015074B"/>
    <w:rsid w:val="001952A4"/>
    <w:rsid w:val="002900CC"/>
    <w:rsid w:val="0029639D"/>
    <w:rsid w:val="00313D14"/>
    <w:rsid w:val="00326F90"/>
    <w:rsid w:val="0066412A"/>
    <w:rsid w:val="00AA1D8D"/>
    <w:rsid w:val="00B47730"/>
    <w:rsid w:val="00CB0664"/>
    <w:rsid w:val="00D22DF3"/>
    <w:rsid w:val="00FC693F"/>
    <w:rsid w:val="43556682"/>
    <w:rsid w:val="529C5514"/>
    <w:rsid w:val="5BF63A6F"/>
    <w:rsid w:val="777B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5235</Words>
  <Characters>9297</Characters>
  <Lines>515</Lines>
  <Paragraphs>563</Paragraphs>
  <TotalTime>5</TotalTime>
  <ScaleCrop>false</ScaleCrop>
  <LinksUpToDate>false</LinksUpToDate>
  <CharactersWithSpaces>10305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崔诗函</dc:creator>
  <dc:description>generated by python-docx</dc:description>
  <cp:keywords>SOFA, ICU, PhysioNet, Challenge 2012</cp:keywords>
  <cp:lastModifiedBy>崔诗函</cp:lastModifiedBy>
  <dcterms:modified xsi:type="dcterms:W3CDTF">2026-09-05T14:37:30Z</dcterms:modified>
  <dc:subject>SOFA 1 评分阈值 时间窗和数据集实现</dc:subject>
  <dc:title>基于 PhysioNet Challenge 2012 数据集的 SOFA 计算方法简明版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eyJoZGlkIjoiY2Q0OTkyNzZhMjFkY2M2NDgyM2VkMmNiZjEzZGZlMjkiLCJ1c2VySWQiOiIxODY2MzYxMDM5In0=</vt:lpwstr>
  </property>
  <property fmtid="{D5CDD505-2E9C-101B-9397-08002B2CF9AE}" pid="3" name="KSOProductBuildVer">
    <vt:lpwstr>2052-12.1.0.26988</vt:lpwstr>
  </property>
  <property fmtid="{D5CDD505-2E9C-101B-9397-08002B2CF9AE}" pid="4" name="ICV">
    <vt:lpwstr>C4E1A88DBF8E4DE7964C92682711FDC6_13</vt:lpwstr>
  </property>
</Properties>
</file>