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Predicting SOFA from the PhysioNet 2012 data</w:t>
      </w:r>
    </w:p>
    <w:p>
      <w:r>
        <w:rPr>
          <w:b w:val="0"/>
          <w:i/>
          <w:sz w:val="22"/>
        </w:rPr>
        <w:t>Three ways to handle the un-computable cardiovascular component</w:t>
      </w:r>
    </w:p>
    <w:p>
      <w:r>
        <w:rPr>
          <w:b w:val="0"/>
          <w:i w:val="0"/>
          <w:sz w:val="18"/>
        </w:rPr>
        <w:t>Companion note to sofa_calculation.ipynb / sofa_scores.csv. Prepared 2026-09-06.</w:t>
      </w:r>
    </w:p>
    <w:p>
      <w:pPr>
        <w:pStyle w:val="Heading1"/>
      </w:pPr>
      <w:r>
        <w:t>1  The problem in one paragraph</w:t>
      </w:r>
    </w:p>
    <w:p>
      <w:r>
        <w:rPr>
          <w:b w:val="0"/>
          <w:i w:val="0"/>
        </w:rPr>
        <w:t>We computed SOFA for all 12,000 ICU stays with the methodology in the reference document and compared it to the SOFA column of outcomes.csv. Our first-24-hour score (SOFA_D1) tracks outcomes.SOFA closely (Pearson r ≈ 0.93) but sits about 0.86 point low and matches exactly only ~59% of the time. The entire systematic gap is the cardiovascular component. SOFA’s cardiovascular levels 2–4 are defined purely by vasopressor / inotrope drug and dose (dobutamine, dopamine, epinephrine, norepinephrine); this dataset carries no medication data at all, so our cardiovascular sub-score is structurally capped at 0 (MAP ≥ 70) or 1 (MAP &lt; 70). Any model that predicts a SOFA score at or after 24 hours inherits this limitation. This note sets out the three strongest ways to build such a model anyway.</w:t>
      </w:r>
    </w:p>
    <w:p>
      <w:pPr>
        <w:pStyle w:val="Heading1"/>
      </w:pPr>
      <w:r>
        <w:t>2  Why exact reproduction is impossible</w:t>
      </w:r>
    </w:p>
    <w:p>
      <w:pPr>
        <w:pStyle w:val="ListBullet"/>
      </w:pPr>
      <w:r>
        <w:t>Cardiovascular 2 = dobutamine (any dose) or dopamine ≤ 5; 3 = dopamine &gt; 5 or norepinephrine / epinephrine ≤ 0.1; 4 = higher doses. Every level above 1 is drug-defined.</w:t>
      </w:r>
    </w:p>
    <w:p>
      <w:pPr>
        <w:pStyle w:val="ListBullet"/>
      </w:pPr>
      <w:r>
        <w:t>icu_records/ contains MAP and NIMAP only — no drug names, no doses (no PhysioNet 2012 set does).</w:t>
      </w:r>
    </w:p>
    <w:p>
      <w:pPr>
        <w:pStyle w:val="ListBullet"/>
      </w:pPr>
      <w:r>
        <w:t>Accounting check: the reference SOFA’s implied cardiovascular average is ≈ 1.6 points / patient; ours is ≈ 0.8; the 0.8-point shortfall equals the whole mean bias. The other five organ systems are, on average, unbiased.</w:t>
      </w:r>
    </w:p>
    <w:p>
      <w:pPr>
        <w:pStyle w:val="ListBullet"/>
      </w:pPr>
      <w:r>
        <w:t>The error is one-directional: ~21% of patients score ≥ 3 points low, only ~5% score any amount high (that small high tail is sedation / intubation depressing GCS and P/F, which we take at face value).</w:t>
      </w:r>
    </w:p>
    <w:p>
      <w:pPr>
        <w:pStyle w:val="ListBullet"/>
      </w:pPr>
      <w:r>
        <w:rPr>
          <w:b/>
        </w:rPr>
        <w:t xml:space="preserve">Consequence for modelling: </w:t>
      </w:r>
      <w:r>
        <w:t>against outcomes.SOFA there is an irreducible error floor of roughly 1.5 SOFA points RMSE (our OLS residual SD), and it is concentrated in the sickest, pressor-dependent patients — not spread evenly.</w:t>
      </w:r>
    </w:p>
    <w:p>
      <w:pPr>
        <w:pStyle w:val="Heading1"/>
      </w:pPr>
      <w:r>
        <w:t>3  Approach 1 — Proxy-augmented direct prediction of outcomes.SOFA</w:t>
      </w:r>
    </w:p>
    <w:p>
      <w:pPr>
        <w:pStyle w:val="ListBullet"/>
      </w:pPr>
      <w:r>
        <w:rPr>
          <w:b/>
        </w:rPr>
        <w:t xml:space="preserve">What it is: </w:t>
      </w:r>
      <w:r>
        <w:t>keep outcomes.SOFA as the label and give the model enough raw physiology to infer the unobserved vasopressor points from their footprint.</w:t>
      </w:r>
    </w:p>
    <w:p>
      <w:pPr>
        <w:pStyle w:val="ListBullet"/>
      </w:pPr>
      <w:r>
        <w:rPr>
          <w:b/>
        </w:rPr>
        <w:t xml:space="preserve">Features to add: </w:t>
      </w:r>
      <w:r>
        <w:t>MAP / NIMAP minimum, time-weighted mean, minutes below 70 and below 65, count of readings &lt; 70; heart-rate trajectory; urine-output rate (mL/kg/h, admission weight carried forward); lactate and its trend where present; HCO3 / base deficit; ICUType (cardiac-surgery flag); timing of the MAP nadir. Include the five well-supported organ sub-scores we already compute, plus a missingness indicator for each.</w:t>
      </w:r>
    </w:p>
    <w:p>
      <w:pPr>
        <w:pStyle w:val="ListBullet"/>
      </w:pPr>
      <w:r>
        <w:rPr>
          <w:b/>
        </w:rPr>
        <w:t xml:space="preserve">Model: </w:t>
      </w:r>
      <w:r>
        <w:t>gradient-boosted trees (LightGBM / XGBoost) on windowed summary features, or a GRU / temporal-CNN on the resampled raw series if you would rather not hand-engineer aggregates.</w:t>
      </w:r>
    </w:p>
    <w:p>
      <w:pPr>
        <w:pStyle w:val="ListBullet"/>
      </w:pPr>
      <w:r>
        <w:rPr>
          <w:b/>
        </w:rPr>
        <w:t xml:space="preserve">Strengths: </w:t>
      </w:r>
      <w:r>
        <w:t>uses the canonical, clinically recognised label; a strong model recovers much of the cardiovascular signal because sustained low MAP + high lactate + cardiac surgery is a good pressor proxy; one model, simple to ship.</w:t>
      </w:r>
    </w:p>
    <w:p>
      <w:pPr>
        <w:pStyle w:val="ListBullet"/>
      </w:pPr>
      <w:r>
        <w:rPr>
          <w:b/>
        </w:rPr>
        <w:t xml:space="preserve">Limitations: </w:t>
      </w:r>
      <w:r>
        <w:t>the ~1.5 RMSE floor cannot be beaten with these inputs; the model is blind to “MAP normal because of pressors” (that patient looks stable and scores 0 for us, 3 in the reference); residual error is worst exactly for the highest-SOFA patients, so tail calibration must be checked explicitly.</w:t>
      </w:r>
    </w:p>
    <w:p>
      <w:pPr>
        <w:pStyle w:val="ListBullet"/>
      </w:pPr>
      <w:r>
        <w:rPr>
          <w:b/>
        </w:rPr>
        <w:t xml:space="preserve">Best when: </w:t>
      </w:r>
      <w:r>
        <w:t>you need an output directly comparable to published SOFA and the downstream use can tolerate about a point of error for the sickest patients.</w:t>
      </w:r>
    </w:p>
    <w:p>
      <w:pPr>
        <w:pStyle w:val="Heading1"/>
      </w:pPr>
      <w:r>
        <w:t>4  Approach 2 — Component-wise (six-axis) modelling, then sum</w:t>
      </w:r>
    </w:p>
    <w:p>
      <w:pPr>
        <w:pStyle w:val="ListBullet"/>
      </w:pPr>
      <w:r>
        <w:rPr>
          <w:b/>
        </w:rPr>
        <w:t xml:space="preserve">What it is: </w:t>
      </w:r>
      <w:r>
        <w:t>predict each organ sub-score separately and add them; treat cardiovascular as its own small sub-problem.</w:t>
      </w:r>
    </w:p>
    <w:p>
      <w:r>
        <w:rPr>
          <w:b/>
          <w:i w:val="0"/>
        </w:rPr>
        <w:t>How to build it:</w:t>
      </w:r>
    </w:p>
    <w:p>
      <w:pPr>
        <w:pStyle w:val="ListBullet2"/>
      </w:pPr>
      <w:r>
        <w:t>Coagulation, liver, neurological, renal, respiratory: model each against its own inputs. These axes are well supported and our computed sub-scores are already close to correct, so these sub-models are easy and accurate.</w:t>
      </w:r>
    </w:p>
    <w:p>
      <w:pPr>
        <w:pStyle w:val="ListBullet2"/>
      </w:pPr>
      <w:r>
        <w:t>Cardiovascular, two parts: (a) the deterministic 0/1 from MAP that we already have; (b) a learned “residual cardiovascular” model that predicts outcomes.SOFA − (our five other sub-scores) − (our cardio 0/1) from the hemodynamic and context features listed in Approach 1 — i.e. it learns the missing 0–3 pressor points directly. Clip the cardiovascular total to [0, 4].</w:t>
      </w:r>
    </w:p>
    <w:p>
      <w:pPr>
        <w:pStyle w:val="ListBullet2"/>
      </w:pPr>
      <w:r>
        <w:t>Final SOFA = sum of the predicted sub-scores.</w:t>
      </w:r>
    </w:p>
    <w:p>
      <w:pPr>
        <w:pStyle w:val="ListBullet"/>
      </w:pPr>
      <w:r>
        <w:rPr>
          <w:b/>
        </w:rPr>
        <w:t xml:space="preserve">Strengths: </w:t>
      </w:r>
      <w:r>
        <w:t>fully transparent — you see which axis fails; the weak cardiovascular sub-model is isolated and can be swapped the moment pressor data or a better proxy appears; each sub-model is a well-posed problem; naturally supports both a lenient and a strict output.</w:t>
      </w:r>
    </w:p>
    <w:p>
      <w:pPr>
        <w:pStyle w:val="ListBullet"/>
      </w:pPr>
      <w:r>
        <w:rPr>
          <w:b/>
        </w:rPr>
        <w:t xml:space="preserve">Limitations: </w:t>
      </w:r>
      <w:r>
        <w:t>more engineering and bookkeeping; errors from six sub-models compound; the cardiovascular residual target is noisy because it absorbs all cross-axis reconstruction error.</w:t>
      </w:r>
    </w:p>
    <w:p>
      <w:pPr>
        <w:pStyle w:val="ListBullet"/>
      </w:pPr>
      <w:r>
        <w:rPr>
          <w:b/>
        </w:rPr>
        <w:t xml:space="preserve">Best when: </w:t>
      </w:r>
      <w:r>
        <w:t>you want an auditable, maintainable pipeline, the individual SOFA components are used downstream, or you expect to improve the cardiovascular input later.</w:t>
      </w:r>
    </w:p>
    <w:p>
      <w:pPr>
        <w:pStyle w:val="Heading1"/>
      </w:pPr>
      <w:r>
        <w:t>5  Approach 3 — Reframe the target to what the data supports</w:t>
      </w:r>
    </w:p>
    <w:p>
      <w:pPr>
        <w:pStyle w:val="ListBullet"/>
      </w:pPr>
      <w:r>
        <w:rPr>
          <w:b/>
        </w:rPr>
        <w:t xml:space="preserve">3a  “SOFA-5”: </w:t>
      </w:r>
      <w:r>
        <w:t>define and predict a five-system score (respiratory, coagulation, liver, renal, neurological), explicitly excluding cardiovascular, and report it with a documented scope. Attach a separate binary “hemodynamic instability” flag (sustained MAP &lt; 65, or MAP &lt; 70 with rising lactate) as a companion signal.</w:t>
      </w:r>
    </w:p>
    <w:p>
      <w:pPr>
        <w:pStyle w:val="ListBullet"/>
      </w:pPr>
      <w:r>
        <w:rPr>
          <w:b/>
        </w:rPr>
        <w:t xml:space="preserve">3b  Skip SOFA entirely: </w:t>
      </w:r>
      <w:r>
        <w:t>if the real objective is in-hospital mortality, deterioration, or length of stay, feed the raw physiology (MAP series, lactate, urine rate, HR, labs, GCS, ventilation markers) straight into the outcome model. A reconstructed SOFA throws away the 0–4 bucketing and the pressor information you never had; the outcome model performs better with the un-quantised inputs.</w:t>
      </w:r>
    </w:p>
    <w:p>
      <w:pPr>
        <w:pStyle w:val="ListBullet"/>
      </w:pPr>
      <w:r>
        <w:rPr>
          <w:b/>
        </w:rPr>
        <w:t xml:space="preserve">Strengths: </w:t>
      </w:r>
      <w:r>
        <w:t>no hidden-label ceiling; honest about what is measurable; keeps full physiological resolution; 3b usually gives the best downstream performance because SOFA is a lossy intermediate.</w:t>
      </w:r>
    </w:p>
    <w:p>
      <w:pPr>
        <w:pStyle w:val="ListBullet"/>
      </w:pPr>
      <w:r>
        <w:rPr>
          <w:b/>
        </w:rPr>
        <w:t xml:space="preserve">Limitations: </w:t>
      </w:r>
      <w:r>
        <w:t>“SOFA-5” is not directly comparable to published SOFA and needs justifying to clinical reviewers; you lose the single-number severity summary; 3b abandons SOFA as an interpretable feature.</w:t>
      </w:r>
    </w:p>
    <w:p>
      <w:pPr>
        <w:pStyle w:val="ListBullet"/>
      </w:pPr>
      <w:r>
        <w:rPr>
          <w:b/>
        </w:rPr>
        <w:t xml:space="preserve">Best when: </w:t>
      </w:r>
      <w:r>
        <w:t>SOFA is a means to an end (predicting an outcome), not the deliverable itself — which is exactly the situation in the original Challenge 2012 task.</w:t>
      </w:r>
    </w:p>
    <w:p>
      <w:pPr>
        <w:pStyle w:val="Heading1"/>
      </w:pPr>
      <w:r>
        <w:t>6  Which to choose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If…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then…</w:t>
            </w:r>
          </w:p>
        </w:tc>
      </w:tr>
      <w:tr>
        <w:tc>
          <w:tcPr>
            <w:tcW w:type="dxa" w:w="4320"/>
          </w:tcPr>
          <w:p>
            <w:r>
              <w:t>the deliverable is a SOFA number comparable to the literature</w:t>
            </w:r>
          </w:p>
        </w:tc>
        <w:tc>
          <w:tcPr>
            <w:tcW w:type="dxa" w:w="4320"/>
          </w:tcPr>
          <w:p>
            <w:r>
              <w:t>Approach 1</w:t>
            </w:r>
          </w:p>
        </w:tc>
      </w:tr>
      <w:tr>
        <w:tc>
          <w:tcPr>
            <w:tcW w:type="dxa" w:w="4320"/>
          </w:tcPr>
          <w:p>
            <w:r>
              <w:t>the deliverable is a SOFA pipeline that will be maintained, audited, or improved, or the components matter downstream</w:t>
            </w:r>
          </w:p>
        </w:tc>
        <w:tc>
          <w:tcPr>
            <w:tcW w:type="dxa" w:w="4320"/>
          </w:tcPr>
          <w:p>
            <w:r>
              <w:t>Approach 2</w:t>
            </w:r>
          </w:p>
        </w:tc>
      </w:tr>
      <w:tr>
        <w:tc>
          <w:tcPr>
            <w:tcW w:type="dxa" w:w="4320"/>
          </w:tcPr>
          <w:p>
            <w:r>
              <w:t>SOFA is an intermediate step toward a clinical outcome</w:t>
            </w:r>
          </w:p>
        </w:tc>
        <w:tc>
          <w:tcPr>
            <w:tcW w:type="dxa" w:w="4320"/>
          </w:tcPr>
          <w:p>
            <w:r>
              <w:t>Approach 3 — 3b for pure performance, 3a if you still need an interpretable severity score</w:t>
            </w:r>
          </w:p>
        </w:tc>
      </w:tr>
      <w:tr>
        <w:tc>
          <w:tcPr>
            <w:tcW w:type="dxa" w:w="4320"/>
          </w:tcPr>
          <w:p>
            <w:r>
              <w:t>you are not sure yet / want a pragmatic default</w:t>
            </w:r>
          </w:p>
        </w:tc>
        <w:tc>
          <w:tcPr>
            <w:tcW w:type="dxa" w:w="4320"/>
          </w:tcPr>
          <w:p>
            <w:r>
              <w:t>Build Approach 2’s five well-supported axes now; add the cardiovascular residual sub-model (Approach 1’s proxy idea, scoped to one axis); and if the end goal is mortality, also run an Approach-3b baseline to measure what the SOFA bottleneck costs.</w:t>
            </w:r>
          </w:p>
        </w:tc>
      </w:tr>
    </w:tbl>
    <w:p>
      <w:pPr>
        <w:pStyle w:val="Heading1"/>
      </w:pPr>
      <w:r>
        <w:t>7  Practical notes for all three</w:t>
      </w:r>
    </w:p>
    <w:p>
      <w:pPr>
        <w:pStyle w:val="ListBullet"/>
      </w:pPr>
      <w:r>
        <w:t>Drop the 403 records with SOFA = −1 from training and evaluation (SAPS-I = −1 affects 518; drop those too if SAPS-I is a feature).</w:t>
      </w:r>
    </w:p>
    <w:p>
      <w:pPr>
        <w:pStyle w:val="ListBullet"/>
      </w:pPr>
      <w:r>
        <w:t>Carry missingness indicators as features — an absent blood gas or bilirubin is informative (“not in respiratory / liver failure”), not missing-at-random.</w:t>
      </w:r>
    </w:p>
    <w:p>
      <w:pPr>
        <w:pStyle w:val="ListBullet"/>
      </w:pPr>
      <w:r>
        <w:t>Evaluate stratified by pressor-likelihood (MAP &lt; 70, or ICUType = 2 cardiac surgery) so tail error is visible instead of averaged away. Report calibration, not only RMSE / MAE.</w:t>
      </w:r>
    </w:p>
    <w:p>
      <w:pPr>
        <w:pStyle w:val="ListBullet"/>
      </w:pPr>
      <w:r>
        <w:t>Add a “sedation-suspected” feature (GCS ≤ 8 together with ventilation markers) so the model can discount a low GCS that is drug-induced — this is the correction SOFA-2 introduced and it removes most of the +1 over-prediction tail.</w:t>
      </w:r>
    </w:p>
    <w:p>
      <w:pPr>
        <w:pStyle w:val="ListBullet"/>
      </w:pPr>
      <w:r>
        <w:t>For any rate feature, carry the 00:00 admission weight forward; ~7.7% of records have no weight — impute from cohort medians by sex and flag the imputation.</w:t>
      </w:r>
    </w:p>
    <w:p>
      <w:pPr>
        <w:pStyle w:val="ListBullet"/>
      </w:pPr>
      <w:r>
        <w:t>Records with IDs outside 100001–112000 (e.g. 132539) belong to Challenge sets B / C. If you train on set A only, re-check the cardiovascular bias on B / C before trusting cross-set performance.</w:t>
      </w:r>
    </w:p>
    <w:p>
      <w:pPr>
        <w:pStyle w:val="Heading1"/>
      </w:pPr>
      <w:r>
        <w:t>8  Implementation update (2026-09-16)</w:t>
      </w:r>
    </w:p>
    <w:p>
      <w:r>
        <w:rPr>
          <w:b w:val="0"/>
          <w:i w:val="0"/>
        </w:rPr>
        <w:t>Approach 2 (component-wise / six-axis) was chosen and built. The task itself was then reframed from “reconstruct outcomes.SOFA” to a rolling 6-hourly SOFA “forecast” over ICU hours 24–48 — full problem statement, decision log (D1–D24) and TRIPOD+AI reporting are in the two companion documents below, not repeated here; this section only cross-references how Approach 2's six-axis idea was actually carried out. UPDATE (2026-09-17): all five families were trained and evaluated for real; 4 of 5 clearly beat the naive persistence baseline at every forecast horizon (the ordinal decomposition wins), confirming the six-axis approach is viable even with the cardiovascular axis capped at 0/1 — see SOFA_forecast_project_plan.docx section 4 for the numbers.</w:t>
      </w:r>
    </w:p>
    <w:p>
      <w:pPr>
        <w:pStyle w:val="ListBullet"/>
      </w:pPr>
      <w:r>
        <w:rPr>
          <w:b/>
        </w:rPr>
        <w:t xml:space="preserve">Six axes, five model families each. </w:t>
      </w:r>
      <w:r>
        <w:t>Rather than one fixed technique per axis, each of the six organ systems is now modelled by five comparable techniques — an ordinal-regression decomposition, a Ridge/logistic linear baseline, the pooled HistGradientBoosting design that was the original primary family (decision log D12), and two further gradient-boosted-tree engines (CatBoost, LightGBM) — compared head-to-head rather than assumed. See decision log D19–D22.</w:t>
      </w:r>
    </w:p>
    <w:p>
      <w:pPr>
        <w:pStyle w:val="ListBullet"/>
      </w:pPr>
      <w:r>
        <w:rPr>
          <w:b/>
        </w:rPr>
        <w:t xml:space="preserve">The cardiovascular residual sub-model idea (§6's pragmatic default) was not built as a separate “anchor” model. </w:t>
      </w:r>
      <w:r>
        <w:t>outcomes.csv turned out to be off-limits as any kind of model input, including as a reconstruction target for an anchor feature — it is the outcome, not the data. The cardiovascular axis instead stays capped at 0/1 throughout, consistently, on both the feature and the forecast-target side (decision log D5–D6).</w:t>
      </w:r>
    </w:p>
    <w:p>
      <w:pPr>
        <w:pStyle w:val="ListBullet"/>
      </w:pPr>
      <w:r>
        <w:rPr>
          <w:b/>
        </w:rPr>
        <w:t xml:space="preserve">Where to look for the rest. </w:t>
      </w:r>
      <w:r>
        <w:t>SOFA_forecast_project_plan.docx (problem statement, full decision log, roadmap) and SOFA_forecasting_TRIPOD_AI_checklist.docx (the compliance table this document's reasoning ultimately feeds into).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