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E9118">
      <w:pPr>
        <w:pStyle w:val="31"/>
        <w:jc w:val="center"/>
        <w:rPr>
          <w:rFonts w:hint="eastAsia" w:ascii="宋体" w:hAnsi="宋体" w:eastAsia="宋体" w:cs="宋体"/>
          <w:b/>
          <w:bCs/>
        </w:rPr>
      </w:pPr>
      <w:r>
        <w:rPr>
          <w:rFonts w:hint="eastAsia" w:ascii="宋体" w:hAnsi="宋体" w:eastAsia="宋体" w:cs="宋体"/>
          <w:b/>
          <w:bCs/>
        </w:rPr>
        <w:t>复杂受限环境多自由度机械臂基于学习和抽样的混合运动规划算法研究</w:t>
      </w:r>
    </w:p>
    <w:p w14:paraId="6B929543">
      <w:pPr>
        <w:jc w:val="center"/>
      </w:pPr>
      <w:r>
        <w:t>（科研训练项目结题报告 · 初稿框架）</w:t>
      </w:r>
    </w:p>
    <w:p w14:paraId="50978514">
      <w:r>
        <w:t>摘要（草稿）：针对复杂受限环境下多自由度机械臂的运动规划问题，本文以二连杆平面机械臂为对象，在构型空间（C 空间）中系统对比了基于网格搜索的 BFS 基准算法与基于抽样的 RRT/RRT* 算法，并提出了一种"教师—学生"式的学习引导抽样方法：以 BFS 最短路生成的走廊软标签训练一个小型手写神经网络（2-48-1），以网络输出的通路概率图作为 RRT 的非均匀采样先验。在单障碍典型场景下的 20 组随机种子实验中，学习引导 RRT 平均只需均匀撒点 RRT 约 72% 的树节点即可到达目标；同时验证了 RRT* 的渐近最优收敛值（235.64°）与几何路径平滑极限（234.6°）的一致性，两种独立优化路线收敛到同一数值，相互印证了该场景下的最优路径长度。</w:t>
      </w:r>
    </w:p>
    <w:p w14:paraId="229D181C">
      <w:r>
        <w:t>关键词：运动规划；构型空间；抽样算法；RRT；RRT*；学习引导采样；神经网络</w:t>
      </w:r>
    </w:p>
    <w:p w14:paraId="075A6BEE">
      <w:pPr>
        <w:pStyle w:val="3"/>
      </w:pPr>
      <w:r>
        <w:t>1 引言</w:t>
      </w:r>
    </w:p>
    <w:p w14:paraId="2FD2472B">
      <w:r>
        <w:t>（草稿，可扩写）机械臂在高 clutter 受限环境（隧道支护、设备舱内检修等土木施工场景同样存在类似需求）中执行点到点运动时，需要在避开障碍的前提下求得一条可行的关节轨迹。经典网格类搜索方法（BFS/Dijkstra/A*）在维度增长时面临组合爆炸：以 6 关节机械臂按每关节 2° 分辨率离散计，构型空间网格数达 180^6 ≈ 3.4×10^12，网格法直接失效——这构成了抽样类算法（RRT 及其最优变体 RRT*）存在的现实理由。</w:t>
      </w:r>
    </w:p>
    <w:p w14:paraId="1834B565">
      <w:r>
        <w:t>本课题的技术路线为"学习 + 抽样"的混合框架：利用确定性算法（BFS）离线生成高质量示范，经神经网络蒸馏为连续的概率先验，再用于加速在线抽样规划。</w:t>
      </w:r>
    </w:p>
    <w:p w14:paraId="5F7D1494">
      <w:pPr>
        <w:pStyle w:val="3"/>
      </w:pPr>
      <w:r>
        <w:t>2 问题建模</w:t>
      </w:r>
    </w:p>
    <w:p w14:paraId="091B9375">
      <w:pPr>
        <w:pStyle w:val="4"/>
      </w:pPr>
      <w:r>
        <w:t>2.1 机械臂模型与正运动学</w:t>
      </w:r>
    </w:p>
    <w:p w14:paraId="7398F04C">
      <w:r>
        <w:t>（草稿）采用二连杆平面机械臂，杆长 L1=200.0、L2=180.0，两关节转角范围均为 [-180°, 180°]。末端位置由正运动学给出：x = L1·cos(θ1) + L2·cos(θ1+θ2)，y = L1·sin(θ1) + L2·sin(θ1+θ2)。障碍物为工作空间中的圆形障碍，圆心 (175.0, 95.0)，半径 43.0；起点 (-132.0, 16.0)，终点 (0.0, -178.0)。</w:t>
      </w:r>
    </w:p>
    <w:p w14:paraId="65369E36">
      <w:pPr>
        <w:jc w:val="center"/>
      </w:pPr>
      <w:r>
        <w:drawing>
          <wp:inline distT="0" distB="0" distL="114300" distR="114300">
            <wp:extent cx="5120640" cy="38404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3840480"/>
                    </a:xfrm>
                    <a:prstGeom prst="rect">
                      <a:avLst/>
                    </a:prstGeom>
                  </pic:spPr>
                </pic:pic>
              </a:graphicData>
            </a:graphic>
          </wp:inline>
        </w:drawing>
      </w:r>
    </w:p>
    <w:p w14:paraId="19D68B21">
      <w:pPr>
        <w:jc w:val="center"/>
      </w:pPr>
      <w:r>
        <w:rPr>
          <w:sz w:val="18"/>
        </w:rPr>
        <w:t>图 1  机械臂结构与几组典型姿态下的正运动学验证</w:t>
      </w:r>
    </w:p>
    <w:p w14:paraId="29AA1D62">
      <w:pPr>
        <w:pStyle w:val="4"/>
      </w:pPr>
      <w:r>
        <w:t>2.2 构型空间与碰撞检测</w:t>
      </w:r>
    </w:p>
    <w:p w14:paraId="383665FF">
      <w:r>
        <w:t>（草稿）以 (θ1, θ2) 为坐标将问题映射到二维构型空间：每个"格子"对应一种姿态，通过正运动学 + 圆-线段距离检测判定碰撞，将工作空间的障碍"投影"为 C 空间禁区。分析表明：大臂位置仅由 θ1 决定，因此障碍方位角附近形成一堵沿 θ2 方向贯通的"竖墙"禁区；C 空间的横向连通性（是否存在被撞满的整列）决定解是否存在。</w:t>
      </w:r>
    </w:p>
    <w:p w14:paraId="168951B8">
      <w:pPr>
        <w:jc w:val="center"/>
      </w:pPr>
      <w:r>
        <w:drawing>
          <wp:inline distT="0" distB="0" distL="114300" distR="114300">
            <wp:extent cx="5120640" cy="4389120"/>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4389120"/>
                    </a:xfrm>
                    <a:prstGeom prst="rect">
                      <a:avLst/>
                    </a:prstGeom>
                  </pic:spPr>
                </pic:pic>
              </a:graphicData>
            </a:graphic>
          </wp:inline>
        </w:drawing>
      </w:r>
    </w:p>
    <w:p w14:paraId="72C3E84A">
      <w:pPr>
        <w:jc w:val="center"/>
      </w:pPr>
      <w:r>
        <w:rPr>
          <w:sz w:val="18"/>
        </w:rPr>
        <w:t>图 2  工作空间障碍与 C 空间禁区对照图</w:t>
      </w:r>
    </w:p>
    <w:p w14:paraId="56D87823">
      <w:pPr>
        <w:jc w:val="center"/>
      </w:pPr>
      <w:r>
        <w:drawing>
          <wp:inline distT="0" distB="0" distL="114300" distR="114300">
            <wp:extent cx="5120640" cy="18288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20640" cy="1828800"/>
                    </a:xfrm>
                    <a:prstGeom prst="rect">
                      <a:avLst/>
                    </a:prstGeom>
                  </pic:spPr>
                </pic:pic>
              </a:graphicData>
            </a:graphic>
          </wp:inline>
        </w:drawing>
      </w:r>
    </w:p>
    <w:p w14:paraId="4376D3E9">
      <w:pPr>
        <w:jc w:val="center"/>
      </w:pPr>
      <w:r>
        <w:rPr>
          <w:sz w:val="18"/>
        </w:rPr>
        <w:t>图 3  竖墙禁区的成因分析（大臂仅受 θ1 控制）</w:t>
      </w:r>
    </w:p>
    <w:p w14:paraId="0C48E66A">
      <w:pPr>
        <w:pStyle w:val="4"/>
      </w:pPr>
      <w:r>
        <w:t>2.3 连通性与可行性</w:t>
      </w:r>
    </w:p>
    <w:p w14:paraId="069EF4C4">
      <w:r>
        <w:t>（草稿）反例验证：当障碍半径增至临界值以上时，某列 θ1 被撞满，C 空间被切成互不连通的两块，此时 BFS 与 RRT 均无解（RRT 撒近 2000 点仍失败）。结论：算法只负责"找路"，可行性由问题本身（障碍布局）决定。</w:t>
      </w:r>
    </w:p>
    <w:p w14:paraId="72682FB7">
      <w:pPr>
        <w:jc w:val="center"/>
      </w:pPr>
      <w:r>
        <w:drawing>
          <wp:inline distT="0" distB="0" distL="114300" distR="114300">
            <wp:extent cx="5120640" cy="46081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20640" cy="4608576"/>
                    </a:xfrm>
                    <a:prstGeom prst="rect">
                      <a:avLst/>
                    </a:prstGeom>
                  </pic:spPr>
                </pic:pic>
              </a:graphicData>
            </a:graphic>
          </wp:inline>
        </w:drawing>
      </w:r>
    </w:p>
    <w:p w14:paraId="2ECBE18F">
      <w:pPr>
        <w:jc w:val="center"/>
      </w:pPr>
      <w:r>
        <w:rPr>
          <w:sz w:val="18"/>
        </w:rPr>
        <w:t>图 4  连通性反例：C 空间被竖墙切断时的无解情形</w:t>
      </w:r>
    </w:p>
    <w:p w14:paraId="67BDFD96">
      <w:pPr>
        <w:pStyle w:val="3"/>
      </w:pPr>
      <w:r>
        <w:t>3 混合规划方法</w:t>
      </w:r>
    </w:p>
    <w:p w14:paraId="2197FE89">
      <w:pPr>
        <w:pStyle w:val="4"/>
      </w:pPr>
      <w:r>
        <w:t>3.1 网格基准：BFS 最短路</w:t>
      </w:r>
    </w:p>
    <w:p w14:paraId="5ACFCC50">
      <w:r>
        <w:t>（草稿）以 2° 分辨率离散 C 空间（90×90 网格），4 邻域 BFS 求步数最短路径，作为后续所有算法的对照基准（"教师"信号也来源于此）。</w:t>
      </w:r>
    </w:p>
    <w:p w14:paraId="42B73CF8">
      <w:pPr>
        <w:pStyle w:val="4"/>
      </w:pPr>
      <w:r>
        <w:t>3.2 抽样规划：RRT 与步长灵敏度</w:t>
      </w:r>
    </w:p>
    <w:p w14:paraId="15086DF1">
      <w:r>
        <w:t>（草稿）RRT 三步循环：随机撒点（10% 概率偏置到目标）→ 最近邻 →以固定步长延伸并做碰撞检查。同等任务下 RRT 仅用 157 个节点即成功，探索量约为 BFS（16 965/32 400 格）的 0.9%。步长扫描显示节点数随步长增大而下降（6°:157 / 12°:80 / 36°:33），代价是路径更粗糙、绕障能力下降。</w:t>
      </w:r>
      <w:bookmarkStart w:id="0" w:name="_GoBack"/>
      <w:bookmarkEnd w:id="0"/>
    </w:p>
    <w:p w14:paraId="3C9656D6">
      <w:pPr>
        <w:jc w:val="center"/>
      </w:pPr>
      <w:r>
        <w:drawing>
          <wp:inline distT="0" distB="0" distL="114300" distR="114300">
            <wp:extent cx="5120640" cy="264731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20640" cy="2647935"/>
                    </a:xfrm>
                    <a:prstGeom prst="rect">
                      <a:avLst/>
                    </a:prstGeom>
                  </pic:spPr>
                </pic:pic>
              </a:graphicData>
            </a:graphic>
          </wp:inline>
        </w:drawing>
      </w:r>
    </w:p>
    <w:p w14:paraId="3B7868D6">
      <w:pPr>
        <w:jc w:val="center"/>
      </w:pPr>
      <w:r>
        <w:rPr>
          <w:sz w:val="18"/>
        </w:rPr>
        <w:t>图 5  BFS 与 RRT 的探索量对比（0.9%）</w:t>
      </w:r>
    </w:p>
    <w:p w14:paraId="5580DBA4">
      <w:pPr>
        <w:jc w:val="center"/>
      </w:pPr>
      <w:r>
        <w:drawing>
          <wp:inline distT="0" distB="0" distL="114300" distR="114300">
            <wp:extent cx="5120640" cy="2319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120640" cy="2319914"/>
                    </a:xfrm>
                    <a:prstGeom prst="rect">
                      <a:avLst/>
                    </a:prstGeom>
                  </pic:spPr>
                </pic:pic>
              </a:graphicData>
            </a:graphic>
          </wp:inline>
        </w:drawing>
      </w:r>
    </w:p>
    <w:p w14:paraId="1E6ACAFB">
      <w:pPr>
        <w:jc w:val="center"/>
      </w:pPr>
      <w:r>
        <w:rPr>
          <w:sz w:val="18"/>
        </w:rPr>
        <w:t>图 6  RRT 步长参数扫描</w:t>
      </w:r>
    </w:p>
    <w:p w14:paraId="30963272">
      <w:pPr>
        <w:pStyle w:val="4"/>
      </w:pPr>
      <w:r>
        <w:t>3.3 路径平滑：随机捷径法</w:t>
      </w:r>
    </w:p>
    <w:p w14:paraId="7AFC14B8">
      <w:r>
        <w:t>（草稿）Random Shortcutting：随机选取路径上 i&lt;j 两点，若连线无碰撞则删除中间节点。原始 RRT 路径 52 点 / 300.3°，经平滑收敛到 2 点 / 234.6°，缩短 21.9%；因起终点连线本身无碰撞，234.6° 即为该场景平滑算法的几何极限。</w:t>
      </w:r>
    </w:p>
    <w:p w14:paraId="264DE1DF">
      <w:pPr>
        <w:jc w:val="center"/>
      </w:pPr>
      <w:r>
        <w:drawing>
          <wp:inline distT="0" distB="0" distL="114300" distR="114300">
            <wp:extent cx="5120640" cy="6523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20640" cy="6523555"/>
                    </a:xfrm>
                    <a:prstGeom prst="rect">
                      <a:avLst/>
                    </a:prstGeom>
                  </pic:spPr>
                </pic:pic>
              </a:graphicData>
            </a:graphic>
          </wp:inline>
        </w:drawing>
      </w:r>
    </w:p>
    <w:p w14:paraId="1B658E14">
      <w:pPr>
        <w:jc w:val="center"/>
      </w:pPr>
      <w:r>
        <w:rPr>
          <w:sz w:val="18"/>
        </w:rPr>
        <w:t>图 7  随机捷径平滑前后的路径对比</w:t>
      </w:r>
    </w:p>
    <w:p w14:paraId="3C4AA8C1">
      <w:pPr>
        <w:pStyle w:val="4"/>
      </w:pPr>
      <w:r>
        <w:t>3.4 渐近最优：RRT*</w:t>
      </w:r>
    </w:p>
    <w:p w14:paraId="72B21903">
      <w:r>
        <w:t>（草稿）RRT* 在 RRT 的每次延伸后额外执行 choose_parent 与 rewire：前者在新节点邻域内选择总代价最小的父节点，后者将邻域内邻居改挂到新节点名下并递归更新子树代价。同参数对比 RRT 332.17° → RRT* 278.94°（-16.0%）；anytime 曲线由 267.5°（200 次迭代）收敛到 235.64°（4000 次迭代）。</w:t>
      </w:r>
    </w:p>
    <w:p w14:paraId="21552E28">
      <w:pPr>
        <w:jc w:val="center"/>
      </w:pPr>
      <w:r>
        <w:drawing>
          <wp:inline distT="0" distB="0" distL="114300" distR="114300">
            <wp:extent cx="5120640" cy="4389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120640" cy="4389120"/>
                    </a:xfrm>
                    <a:prstGeom prst="rect">
                      <a:avLst/>
                    </a:prstGeom>
                  </pic:spPr>
                </pic:pic>
              </a:graphicData>
            </a:graphic>
          </wp:inline>
        </w:drawing>
      </w:r>
    </w:p>
    <w:p w14:paraId="3469D574">
      <w:pPr>
        <w:jc w:val="center"/>
      </w:pPr>
      <w:r>
        <w:rPr>
          <w:sz w:val="18"/>
        </w:rPr>
        <w:t>图 8  RRT 与 RRT* 同参数对比及 anytime 收敛曲线</w:t>
      </w:r>
    </w:p>
    <w:p w14:paraId="1F677031">
      <w:pPr>
        <w:pStyle w:val="4"/>
      </w:pPr>
      <w:r>
        <w:t>3.5 时间参数化：弧长重采样 + 梯形速度规划</w:t>
      </w:r>
    </w:p>
    <w:p w14:paraId="2534374A">
      <w:r>
        <w:t>（草稿）将几何路径按累计弧长均匀重采样（解耦位置与进度），再叠加梯形速度规划（加速-匀速-减速）。参数：总弧长 S=276.5°，v_max=90°/s，a_max=120°/s²，得总时间 T=3.82s，关节峰值速度 86.8 / 90.0°/s，速度连续、起止为零、加速度有界；相比"等时播放"的阶梯速度（加速度无穷、抖动异响）显著改善。</w:t>
      </w:r>
    </w:p>
    <w:p w14:paraId="281F3D73">
      <w:pPr>
        <w:jc w:val="center"/>
      </w:pPr>
      <w:r>
        <w:drawing>
          <wp:inline distT="0" distB="0" distL="114300" distR="114300">
            <wp:extent cx="5120640" cy="2562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120640" cy="2562488"/>
                    </a:xfrm>
                    <a:prstGeom prst="rect">
                      <a:avLst/>
                    </a:prstGeom>
                  </pic:spPr>
                </pic:pic>
              </a:graphicData>
            </a:graphic>
          </wp:inline>
        </w:drawing>
      </w:r>
    </w:p>
    <w:p w14:paraId="14EB7B09">
      <w:pPr>
        <w:jc w:val="center"/>
      </w:pPr>
      <w:r>
        <w:rPr>
          <w:sz w:val="18"/>
        </w:rPr>
        <w:t>图 9  弧长参数化与梯形速度规划结果</w:t>
      </w:r>
    </w:p>
    <w:p w14:paraId="2702BCD6">
      <w:pPr>
        <w:pStyle w:val="4"/>
      </w:pPr>
      <w:r>
        <w:t>3.6 学习引导抽样（本文核心贡献）</w:t>
      </w:r>
    </w:p>
    <w:p w14:paraId="184453B5">
      <w:r>
        <w:t>（草稿）"教师—学生"蒸馏框架：①教师——多源 BFS 将 BFS 最短路上所有格子设为零距离源，同时向外扩散得到距离场，经 exp(-d/τ) 软化成走廊标签；②学生——手写 2-48-1 神经网络（numpy 实现，含 tanh/sigmoid 激活与反向传播）在走廊加权损失下训练 3000 轮，输出通路概率图（与教师标签相关系数 0.839）；③混合——概率图取 5 次幂并保留10% 均匀下限后作为 RRT 的采样分布（累加表反查实现）。走廊面积仅占 7.7%，却分走 79% 的采样概率。</w:t>
      </w:r>
    </w:p>
    <w:p w14:paraId="557676B2">
      <w:pPr>
        <w:jc w:val="center"/>
      </w:pPr>
      <w:r>
        <w:drawing>
          <wp:inline distT="0" distB="0" distL="114300" distR="114300">
            <wp:extent cx="5120640" cy="3520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120640" cy="3520440"/>
                    </a:xfrm>
                    <a:prstGeom prst="rect">
                      <a:avLst/>
                    </a:prstGeom>
                  </pic:spPr>
                </pic:pic>
              </a:graphicData>
            </a:graphic>
          </wp:inline>
        </w:drawing>
      </w:r>
    </w:p>
    <w:p w14:paraId="134266AE">
      <w:pPr>
        <w:jc w:val="center"/>
      </w:pPr>
      <w:r>
        <w:rPr>
          <w:sz w:val="18"/>
        </w:rPr>
        <w:t>图 10  教师-学生蒸馏与学习引导 RRT 全流程（2×3 组图）</w:t>
      </w:r>
    </w:p>
    <w:p w14:paraId="0ED851E8">
      <w:pPr>
        <w:pStyle w:val="3"/>
      </w:pPr>
      <w:r>
        <w:t>4 实验与结果</w:t>
      </w:r>
    </w:p>
    <w:p w14:paraId="0B875EB4">
      <w:r>
        <w:t>（草稿）核心数据汇总见下表；20 组随机种子统计用于排除单次运气因素。</w:t>
      </w:r>
    </w:p>
    <w:p w14:paraId="55B0320D">
      <w:pPr>
        <w:pStyle w:val="4"/>
      </w:pPr>
      <w:r>
        <w:t>4.1 数据汇总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1691BF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3B4A24A">
            <w:pPr>
              <w:spacing w:after="0" w:line="240" w:lineRule="auto"/>
            </w:pPr>
            <w:r>
              <w:t>实验</w:t>
            </w:r>
          </w:p>
        </w:tc>
        <w:tc>
          <w:tcPr>
            <w:tcW w:w="2160" w:type="dxa"/>
          </w:tcPr>
          <w:p w14:paraId="780CB3FD">
            <w:pPr>
              <w:spacing w:after="0" w:line="240" w:lineRule="auto"/>
            </w:pPr>
            <w:r>
              <w:t>指标</w:t>
            </w:r>
          </w:p>
        </w:tc>
        <w:tc>
          <w:tcPr>
            <w:tcW w:w="2160" w:type="dxa"/>
          </w:tcPr>
          <w:p w14:paraId="23B1BA14">
            <w:pPr>
              <w:spacing w:after="0" w:line="240" w:lineRule="auto"/>
            </w:pPr>
            <w:r>
              <w:t>基准</w:t>
            </w:r>
          </w:p>
        </w:tc>
        <w:tc>
          <w:tcPr>
            <w:tcW w:w="2160" w:type="dxa"/>
          </w:tcPr>
          <w:p w14:paraId="141D9B6F">
            <w:pPr>
              <w:spacing w:after="0" w:line="240" w:lineRule="auto"/>
            </w:pPr>
            <w:r>
              <w:t>本文方法</w:t>
            </w:r>
          </w:p>
        </w:tc>
      </w:tr>
      <w:tr w14:paraId="11BC76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7FF486C">
            <w:pPr>
              <w:spacing w:after="0" w:line="240" w:lineRule="auto"/>
            </w:pPr>
            <w:r>
              <w:t>BFS vs RRT</w:t>
            </w:r>
          </w:p>
        </w:tc>
        <w:tc>
          <w:tcPr>
            <w:tcW w:w="2160" w:type="dxa"/>
          </w:tcPr>
          <w:p w14:paraId="33915FCA">
            <w:pPr>
              <w:spacing w:after="0" w:line="240" w:lineRule="auto"/>
            </w:pPr>
            <w:r>
              <w:t>探索量</w:t>
            </w:r>
          </w:p>
        </w:tc>
        <w:tc>
          <w:tcPr>
            <w:tcW w:w="2160" w:type="dxa"/>
          </w:tcPr>
          <w:p w14:paraId="21DFBC11">
            <w:pPr>
              <w:spacing w:after="0" w:line="240" w:lineRule="auto"/>
            </w:pPr>
            <w:r>
              <w:t>16 965 格</w:t>
            </w:r>
          </w:p>
        </w:tc>
        <w:tc>
          <w:tcPr>
            <w:tcW w:w="2160" w:type="dxa"/>
          </w:tcPr>
          <w:p w14:paraId="54F3B4CF">
            <w:pPr>
              <w:spacing w:after="0" w:line="240" w:lineRule="auto"/>
            </w:pPr>
            <w:r>
              <w:t>157 节点（0.9%）</w:t>
            </w:r>
          </w:p>
        </w:tc>
      </w:tr>
      <w:tr w14:paraId="48099D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CC163AB">
            <w:pPr>
              <w:spacing w:after="0" w:line="240" w:lineRule="auto"/>
            </w:pPr>
            <w:r>
              <w:t>步长扫描</w:t>
            </w:r>
          </w:p>
        </w:tc>
        <w:tc>
          <w:tcPr>
            <w:tcW w:w="2160" w:type="dxa"/>
          </w:tcPr>
          <w:p w14:paraId="07BDE450">
            <w:pPr>
              <w:spacing w:after="0" w:line="240" w:lineRule="auto"/>
            </w:pPr>
            <w:r>
              <w:t>节点数</w:t>
            </w:r>
          </w:p>
        </w:tc>
        <w:tc>
          <w:tcPr>
            <w:tcW w:w="2160" w:type="dxa"/>
          </w:tcPr>
          <w:p w14:paraId="6E29435A">
            <w:pPr>
              <w:spacing w:after="0" w:line="240" w:lineRule="auto"/>
            </w:pPr>
            <w:r>
              <w:t>6°: 157</w:t>
            </w:r>
          </w:p>
        </w:tc>
        <w:tc>
          <w:tcPr>
            <w:tcW w:w="2160" w:type="dxa"/>
          </w:tcPr>
          <w:p w14:paraId="1C62351B">
            <w:pPr>
              <w:spacing w:after="0" w:line="240" w:lineRule="auto"/>
            </w:pPr>
            <w:r>
              <w:t>12°: 80 / 36°: 33</w:t>
            </w:r>
          </w:p>
        </w:tc>
      </w:tr>
      <w:tr w14:paraId="574A96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7E38CF4">
            <w:pPr>
              <w:spacing w:after="0" w:line="240" w:lineRule="auto"/>
            </w:pPr>
            <w:r>
              <w:t>路径平滑</w:t>
            </w:r>
          </w:p>
        </w:tc>
        <w:tc>
          <w:tcPr>
            <w:tcW w:w="2160" w:type="dxa"/>
          </w:tcPr>
          <w:p w14:paraId="20A6FE82">
            <w:pPr>
              <w:spacing w:after="0" w:line="240" w:lineRule="auto"/>
            </w:pPr>
            <w:r>
              <w:t>路径长度</w:t>
            </w:r>
          </w:p>
        </w:tc>
        <w:tc>
          <w:tcPr>
            <w:tcW w:w="2160" w:type="dxa"/>
          </w:tcPr>
          <w:p w14:paraId="1D7AEEDF">
            <w:pPr>
              <w:spacing w:after="0" w:line="240" w:lineRule="auto"/>
            </w:pPr>
            <w:r>
              <w:t>300.3°（52 点）</w:t>
            </w:r>
          </w:p>
        </w:tc>
        <w:tc>
          <w:tcPr>
            <w:tcW w:w="2160" w:type="dxa"/>
          </w:tcPr>
          <w:p w14:paraId="6B781782">
            <w:pPr>
              <w:spacing w:after="0" w:line="240" w:lineRule="auto"/>
            </w:pPr>
            <w:r>
              <w:t>234.6°（2 点，-21.9%）</w:t>
            </w:r>
          </w:p>
        </w:tc>
      </w:tr>
      <w:tr w14:paraId="42BF9D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AB742B6">
            <w:pPr>
              <w:spacing w:after="0" w:line="240" w:lineRule="auto"/>
            </w:pPr>
            <w:r>
              <w:t>RRT*</w:t>
            </w:r>
          </w:p>
        </w:tc>
        <w:tc>
          <w:tcPr>
            <w:tcW w:w="2160" w:type="dxa"/>
          </w:tcPr>
          <w:p w14:paraId="6EE50259">
            <w:pPr>
              <w:spacing w:after="0" w:line="240" w:lineRule="auto"/>
            </w:pPr>
            <w:r>
              <w:t>路径长度</w:t>
            </w:r>
          </w:p>
        </w:tc>
        <w:tc>
          <w:tcPr>
            <w:tcW w:w="2160" w:type="dxa"/>
          </w:tcPr>
          <w:p w14:paraId="4DF8C603">
            <w:pPr>
              <w:spacing w:after="0" w:line="240" w:lineRule="auto"/>
            </w:pPr>
            <w:r>
              <w:t>332.17°（RRT）</w:t>
            </w:r>
          </w:p>
        </w:tc>
        <w:tc>
          <w:tcPr>
            <w:tcW w:w="2160" w:type="dxa"/>
          </w:tcPr>
          <w:p w14:paraId="2434442F">
            <w:pPr>
              <w:spacing w:after="0" w:line="240" w:lineRule="auto"/>
            </w:pPr>
            <w:r>
              <w:t>278.94°（-16.0%）</w:t>
            </w:r>
          </w:p>
        </w:tc>
      </w:tr>
      <w:tr w14:paraId="50E8C8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CAF4DED">
            <w:pPr>
              <w:spacing w:after="0" w:line="240" w:lineRule="auto"/>
            </w:pPr>
            <w:r>
              <w:t>RRT* anytime</w:t>
            </w:r>
          </w:p>
        </w:tc>
        <w:tc>
          <w:tcPr>
            <w:tcW w:w="2160" w:type="dxa"/>
          </w:tcPr>
          <w:p w14:paraId="4AA47E8A">
            <w:pPr>
              <w:spacing w:after="0" w:line="240" w:lineRule="auto"/>
            </w:pPr>
            <w:r>
              <w:t>收敛值</w:t>
            </w:r>
          </w:p>
        </w:tc>
        <w:tc>
          <w:tcPr>
            <w:tcW w:w="2160" w:type="dxa"/>
          </w:tcPr>
          <w:p w14:paraId="1B9B5A21">
            <w:pPr>
              <w:spacing w:after="0" w:line="240" w:lineRule="auto"/>
            </w:pPr>
            <w:r>
              <w:t>267.5°（iter200）</w:t>
            </w:r>
          </w:p>
        </w:tc>
        <w:tc>
          <w:tcPr>
            <w:tcW w:w="2160" w:type="dxa"/>
          </w:tcPr>
          <w:p w14:paraId="51CDB34E">
            <w:pPr>
              <w:spacing w:after="0" w:line="240" w:lineRule="auto"/>
            </w:pPr>
            <w:r>
              <w:t>235.64°（iter4000）</w:t>
            </w:r>
          </w:p>
        </w:tc>
      </w:tr>
      <w:tr w14:paraId="70E485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5E28DB0">
            <w:pPr>
              <w:spacing w:after="0" w:line="240" w:lineRule="auto"/>
            </w:pPr>
            <w:r>
              <w:t>时间参数化</w:t>
            </w:r>
          </w:p>
        </w:tc>
        <w:tc>
          <w:tcPr>
            <w:tcW w:w="2160" w:type="dxa"/>
          </w:tcPr>
          <w:p w14:paraId="02ADF0CB">
            <w:pPr>
              <w:spacing w:after="0" w:line="240" w:lineRule="auto"/>
            </w:pPr>
            <w:r>
              <w:t>总运动时间</w:t>
            </w:r>
          </w:p>
        </w:tc>
        <w:tc>
          <w:tcPr>
            <w:tcW w:w="2160" w:type="dxa"/>
          </w:tcPr>
          <w:p w14:paraId="3EF4656C">
            <w:pPr>
              <w:spacing w:after="0" w:line="240" w:lineRule="auto"/>
            </w:pPr>
            <w:r>
              <w:t>阶梯速度（不可用）</w:t>
            </w:r>
          </w:p>
        </w:tc>
        <w:tc>
          <w:tcPr>
            <w:tcW w:w="2160" w:type="dxa"/>
          </w:tcPr>
          <w:p w14:paraId="0F015216">
            <w:pPr>
              <w:spacing w:after="0" w:line="240" w:lineRule="auto"/>
            </w:pPr>
            <w:r>
              <w:t>T=3.82s，速度连续</w:t>
            </w:r>
          </w:p>
        </w:tc>
      </w:tr>
      <w:tr w14:paraId="49C490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CB68870">
            <w:pPr>
              <w:spacing w:after="0" w:line="240" w:lineRule="auto"/>
            </w:pPr>
            <w:r>
              <w:t>学习引导（20 seed）</w:t>
            </w:r>
          </w:p>
        </w:tc>
        <w:tc>
          <w:tcPr>
            <w:tcW w:w="2160" w:type="dxa"/>
          </w:tcPr>
          <w:p w14:paraId="0114A07A">
            <w:pPr>
              <w:spacing w:after="0" w:line="240" w:lineRule="auto"/>
            </w:pPr>
            <w:r>
              <w:t>平均树节点</w:t>
            </w:r>
          </w:p>
        </w:tc>
        <w:tc>
          <w:tcPr>
            <w:tcW w:w="2160" w:type="dxa"/>
          </w:tcPr>
          <w:p w14:paraId="6BE29E41">
            <w:pPr>
              <w:spacing w:after="0" w:line="240" w:lineRule="auto"/>
            </w:pPr>
            <w:r>
              <w:t>80.2 ± 15.7</w:t>
            </w:r>
          </w:p>
        </w:tc>
        <w:tc>
          <w:tcPr>
            <w:tcW w:w="2160" w:type="dxa"/>
          </w:tcPr>
          <w:p w14:paraId="73778BEC">
            <w:pPr>
              <w:spacing w:after="0" w:line="240" w:lineRule="auto"/>
            </w:pPr>
            <w:r>
              <w:t>57.6 ± 12.6（72%）</w:t>
            </w:r>
          </w:p>
        </w:tc>
      </w:tr>
    </w:tbl>
    <w:p w14:paraId="481D2575">
      <w:pPr>
        <w:pStyle w:val="4"/>
      </w:pPr>
      <w:r>
        <w:t>4.2 双路线收敛的交叉验证</w:t>
      </w:r>
    </w:p>
    <w:p w14:paraId="2457381F">
      <w:r>
        <w:t>（草稿，本文点睛之笔）两条彼此独立的技术路线收敛到同一数值：事后路径平滑的几何极限 234.6° = 起终点直线距离 √(132²+194²) = 234.6°；RRT* 的 anytime 收敛值 235.64°。生长时优化（RRT*）与事后修形（平滑）殊途同归，说明该值即本场景的最优路径长度，两种方法互相验证了正确性。</w:t>
      </w:r>
    </w:p>
    <w:p w14:paraId="444CCE84">
      <w:pPr>
        <w:pStyle w:val="3"/>
      </w:pPr>
      <w:r>
        <w:t>5 讨论</w:t>
      </w:r>
    </w:p>
    <w:p w14:paraId="259E8FDC">
      <w:r>
        <w:t>（草稿）①连通性：抽样算法无法逾越被切断的 C 空间，可行性由问题决定；②学习引导的代价：需要离线教师信号，场景更换后需重新蒸馏，适合障碍布局相对固定的受限作业环境（如舱内检修、隧道台车作业）；③梯形规划在切换点加速度仍有突变（jerk 无穷），工程上可进一步采用 S 曲线 / jerk 限幅；④本研究的弧长与梯形规划均在 C 空间关节坐标下进行，未显式约束末端笛卡尔轨迹。</w:t>
      </w:r>
    </w:p>
    <w:p w14:paraId="3C4958C4">
      <w:pPr>
        <w:pStyle w:val="3"/>
      </w:pPr>
      <w:r>
        <w:t>6 结论与展望</w:t>
      </w:r>
    </w:p>
    <w:p w14:paraId="7B26E77A">
      <w:r>
        <w:t>（草稿）本文在统一场景下完成了从建模、抽样、优化、时间参数化到学习引导的完整技术链验证：RRT 以 0.9% 的探索量达到网格基准的可行解；RRT* 与随机捷径平滑双路线收敛印证最优值；学习引导抽样将 20-seed 平均树节点压缩至均匀版的 72%。后续工作：S 曲线 jerk 限幅、高维（6-DOF）场景验证、以末端笛卡尔约束为目标的混合规划。</w:t>
      </w:r>
    </w:p>
    <w:p w14:paraId="18E313EA">
      <w:pPr>
        <w:pStyle w:val="3"/>
      </w:pPr>
      <w:r>
        <w:t>参考文献（待补）</w:t>
      </w:r>
    </w:p>
    <w:p w14:paraId="13ADAA3C">
      <w:r>
        <w:t>[1] LaValle S M. Rapidly-exploring random trees: A new tool for path planning. TR 98-11, 1998.</w:t>
      </w:r>
      <w:r>
        <w:br w:type="textWrapping"/>
      </w:r>
      <w:r>
        <w:t>[2] Karaman S, Frazzoli E. Sampling-based algorithms for optimal motion planning. IJRR, 2011.</w:t>
      </w:r>
      <w:r>
        <w:br w:type="textWrapping"/>
      </w:r>
      <w:r>
        <w:t>[3] Ichter B, et al. Learned sampling distributions for efficient planning. ICRA/WAFR, 2018.</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5B18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1262</Words>
  <Characters>1529</Characters>
  <Lines>0</Lines>
  <Paragraphs>0</Paragraphs>
  <TotalTime>5</TotalTime>
  <ScaleCrop>false</ScaleCrop>
  <LinksUpToDate>false</LinksUpToDate>
  <CharactersWithSpaces>1661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虹区</cp:lastModifiedBy>
  <dcterms:modified xsi:type="dcterms:W3CDTF">2026-09-12T05:27:23Z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eyJoZGlkIjoiMGUxYzI3OGUxYzQ2ODBiYzgxNjdiZjE1YTY1YmY2ZDEiLCJ1c2VySWQiOiIxMDY0MDM1MjI3In0=</vt:lpwstr>
  </property>
  <property fmtid="{D5CDD505-2E9C-101B-9397-08002B2CF9AE}" pid="3" name="KSOProductBuildVer">
    <vt:lpwstr>2052-12.1.0.28599</vt:lpwstr>
  </property>
  <property fmtid="{D5CDD505-2E9C-101B-9397-08002B2CF9AE}" pid="4" name="ICV">
    <vt:lpwstr>23341EC1E55640ED91C3E4AAF097E8B4_12</vt:lpwstr>
  </property>
</Properties>
</file>