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Expanded Practitioner Pocket Guide</w:t>
      </w:r>
    </w:p>
    <w:p>
      <w:r>
        <w:rPr>
          <w:b/>
        </w:rPr>
        <w:t>Evidence-Based Advanced Facial Aesthetics Injectables in Skin &amp; Hair Longevity</w:t>
      </w:r>
    </w:p>
    <w:p>
      <w:r>
        <w:rPr>
          <w:b w:val="0"/>
          <w:i w:val="0"/>
        </w:rPr>
        <w:t>THE DERMAL EXTRACELLULAR MATRIX — CHEMICAL INTELLIGENCE</w:t>
      </w:r>
    </w:p>
    <w:p>
      <w:r>
        <w:rPr>
          <w:b w:val="0"/>
          <w:i w:val="0"/>
        </w:rPr>
        <w:t>Exosomes • Polynucleotides • Biomimetic Peptides | 2026 Literature Review</w:t>
      </w:r>
    </w:p>
    <w:p>
      <w:r>
        <w:rPr>
          <w:b w:val="0"/>
          <w:i w:val="0"/>
        </w:rPr>
        <w:t>Companion to the 77-slide CME activity (10-item pretest &amp; posttest included).</w:t>
      </w:r>
    </w:p>
    <w:p>
      <w:r>
        <w:rPr>
          <w:b w:val="0"/>
          <w:i w:val="0"/>
        </w:rPr>
        <w:t>By Dr. Amr Ismail, MD | Founder, 3D Rejuvenation Academy</w:t>
      </w:r>
    </w:p>
    <w:p>
      <w:r>
        <w:rPr>
          <w:b w:val="0"/>
          <w:i w:val="0"/>
        </w:rPr>
        <w:t>www.3drejuvenationcode.com | 3D Rejuvenation Academy — Approved CPD Provider</w:t>
      </w:r>
    </w:p>
    <w:p>
      <w:r>
        <w:rPr>
          <w:b w:val="0"/>
          <w:i/>
        </w:rPr>
        <w:t>© 2026 Dr. Amr Ismail, MD. All rights reserved.</w:t>
      </w:r>
    </w:p>
    <w:p>
      <w:r>
        <w:rPr>
          <w:b w:val="0"/>
          <w:i/>
        </w:rPr>
        <w:t>Disclaimer: educational material; verify local regulation and product licensure. Injectable exosomes are investigational/unapproved in most jurisdictions.</w:t>
      </w:r>
    </w:p>
    <w:p>
      <w:r>
        <w:br w:type="page"/>
      </w:r>
    </w:p>
    <w:p>
      <w:pPr>
        <w:pStyle w:val="Heading1"/>
      </w:pPr>
      <w:r>
        <w:rPr>
          <w:color w:val="3B1F3E"/>
        </w:rPr>
        <w:t>1. How to Use This Guide — Evidence Grades</w:t>
      </w:r>
    </w:p>
    <w:p>
      <w:r>
        <w:rPr>
          <w:b w:val="0"/>
          <w:i w:val="0"/>
        </w:rPr>
        <w:t>Every recommendation carries an evidence grade. Counsel patients with these grades, not with marketing claims.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Practice implication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Multiple RCTs / meta-analyses</w:t>
            </w:r>
          </w:p>
        </w:tc>
        <w:tc>
          <w:tcPr>
            <w:tcW w:type="dxa" w:w="2880"/>
          </w:tcPr>
          <w:p>
            <w:r>
              <w:t>Practice-changing; may be presented as established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Single RCT or consistent split-face trials</w:t>
            </w:r>
          </w:p>
        </w:tc>
        <w:tc>
          <w:tcPr>
            <w:tcW w:type="dxa" w:w="2880"/>
          </w:tcPr>
          <w:p>
            <w:r>
              <w:t>Supportive; reasonable to offer with informed consent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Observational studies / case series</w:t>
            </w:r>
          </w:p>
        </w:tc>
        <w:tc>
          <w:tcPr>
            <w:tcW w:type="dxa" w:w="2880"/>
          </w:tcPr>
          <w:p>
            <w:r>
              <w:t>Hypothesis-generating; frame as emerging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Preclinical / mechanistic only</w:t>
            </w:r>
          </w:p>
        </w:tc>
        <w:tc>
          <w:tcPr>
            <w:tcW w:type="dxa" w:w="2880"/>
          </w:tcPr>
          <w:p>
            <w:r>
              <w:t>Investigational; never present as proven</w:t>
            </w:r>
          </w:p>
        </w:tc>
      </w:tr>
    </w:tbl>
    <w:p/>
    <w:p>
      <w:pPr>
        <w:pStyle w:val="Heading1"/>
      </w:pPr>
      <w:r>
        <w:rPr>
          <w:color w:val="3B1F3E"/>
        </w:rPr>
        <w:t>2. The Dermal ECM in 60 Seconds</w:t>
      </w:r>
    </w:p>
    <w:p>
      <w:pPr>
        <w:pStyle w:val="ListBullet"/>
      </w:pPr>
      <w:r>
        <w:t>Collagen I (80–85%) + III (10–15%) = ~70% of dermal dry weight; tensile strength and youthful architecture.</w:t>
      </w:r>
    </w:p>
    <w:p>
      <w:pPr>
        <w:pStyle w:val="ListBullet"/>
      </w:pPr>
      <w:r>
        <w:t>Elastin/fibrillin fibers give recoil; UV drives solar elastosis.</w:t>
      </w:r>
    </w:p>
    <w:p>
      <w:pPr>
        <w:pStyle w:val="ListBullet"/>
      </w:pPr>
      <w:r>
        <w:t>Hyaluronic acid binds ~1000× its weight in water; dermal half-life &lt; 24 h.</w:t>
      </w:r>
    </w:p>
    <w:p>
      <w:pPr>
        <w:pStyle w:val="ListBullet"/>
      </w:pPr>
      <w:r>
        <w:t>Fibroblasts read matrix integrity via integrins (FAK/ERK, YAP/TAZ): fragmented collagen switches collagen synthesis OFF.</w:t>
      </w:r>
    </w:p>
    <w:p>
      <w:pPr>
        <w:pStyle w:val="ListBullet"/>
      </w:pPr>
      <w:r>
        <w:t>Photoaging: UV → AP-1 → MMP-1/3/9 ↑ + TGF-β signaling ↓ = chronic collagen deficit.</w:t>
      </w:r>
    </w:p>
    <w:p>
      <w:pPr>
        <w:pStyle w:val="ListBullet"/>
      </w:pPr>
      <w:r>
        <w:t>Senescent fibroblasts secrete SASP (IL-6, IL-8, MMPs) — 'inflammaging'.</w:t>
      </w:r>
    </w:p>
    <w:p>
      <w:pPr>
        <w:pStyle w:val="ListBullet"/>
      </w:pPr>
      <w:r>
        <w:t>Hair: dermal papilla ECM volume predicts follicle caliber; AGA shows DP ECM shrinkage + perifollicular fibrosis.</w:t>
      </w:r>
    </w:p>
    <w:p>
      <w:r>
        <w:rPr>
          <w:b/>
          <w:i w:val="0"/>
        </w:rPr>
        <w:t>Clinical translation: interventions either REPLACE (fillers), SIGNAL (exosomes, polynucleotides, peptides), PROTECT (SPF, antioxidants), or REMOVE (devices, senolytic strategies). Best results combine ≥ 2.</w:t>
      </w:r>
    </w:p>
    <w:p>
      <w:pPr>
        <w:pStyle w:val="Heading1"/>
      </w:pPr>
      <w:r>
        <w:rPr>
          <w:color w:val="3B1F3E"/>
        </w:rPr>
        <w:t>3. Exosomes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4320"/>
          </w:tcPr>
          <w:p>
            <w:r>
              <w:t>Definition</w:t>
            </w:r>
          </w:p>
        </w:tc>
        <w:tc>
          <w:tcPr>
            <w:tcW w:type="dxa" w:w="4320"/>
          </w:tcPr>
          <w:p>
            <w:r>
              <w:t>30–150 nm endosomal extracellular vesicles carrying proteins, lipids, mRNA, miRNA</w:t>
            </w:r>
          </w:p>
        </w:tc>
      </w:tr>
      <w:tr>
        <w:tc>
          <w:tcPr>
            <w:tcW w:type="dxa" w:w="4320"/>
          </w:tcPr>
          <w:p>
            <w:r>
              <w:t>Key markers</w:t>
            </w:r>
          </w:p>
        </w:tc>
        <w:tc>
          <w:tcPr>
            <w:tcW w:type="dxa" w:w="4320"/>
          </w:tcPr>
          <w:p>
            <w:r>
              <w:t>CD9, CD63, CD81 (tetraspanins); characterize by NTA, TEM, Western blot</w:t>
            </w:r>
          </w:p>
        </w:tc>
      </w:tr>
      <w:tr>
        <w:tc>
          <w:tcPr>
            <w:tcW w:type="dxa" w:w="4320"/>
          </w:tcPr>
          <w:p>
            <w:r>
              <w:t>Sources</w:t>
            </w:r>
          </w:p>
        </w:tc>
        <w:tc>
          <w:tcPr>
            <w:tcW w:type="dxa" w:w="4320"/>
          </w:tcPr>
          <w:p>
            <w:r>
              <w:t>MSC (adipose/bone marrow/umbilical), platelet/PRP, plant-derived (cosmetic only)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miRNA cargo → fibroblast activation, MMP suppression, anti-inflammatory, angiogenic, Wnt/β-catenin in DP cells</w:t>
            </w:r>
          </w:p>
        </w:tc>
      </w:tr>
      <w:tr>
        <w:tc>
          <w:tcPr>
            <w:tcW w:type="dxa" w:w="4320"/>
          </w:tcPr>
          <w:p>
            <w:r>
              <w:t>Skin evidence</w:t>
            </w:r>
          </w:p>
        </w:tc>
        <w:tc>
          <w:tcPr>
            <w:tcW w:type="dxa" w:w="4320"/>
          </w:tcPr>
          <w:p>
            <w:r>
              <w:t>Level C — small split-face adjuvant studies with microneedling/laser; no large injectable RCT</w:t>
            </w:r>
          </w:p>
        </w:tc>
      </w:tr>
      <w:tr>
        <w:tc>
          <w:tcPr>
            <w:tcW w:type="dxa" w:w="4320"/>
          </w:tcPr>
          <w:p>
            <w:r>
              <w:t>Hair evidence</w:t>
            </w:r>
          </w:p>
        </w:tc>
        <w:tc>
          <w:tcPr>
            <w:tcW w:type="dxa" w:w="4320"/>
          </w:tcPr>
          <w:p>
            <w:r>
              <w:t>Level C — small AGA trials report density gains at 12–24 weeks; no head-to-head vs minoxidil</w:t>
            </w:r>
          </w:p>
        </w:tc>
      </w:tr>
      <w:tr>
        <w:tc>
          <w:tcPr>
            <w:tcW w:type="dxa" w:w="4320"/>
          </w:tcPr>
          <w:p>
            <w:r>
              <w:t>Regulatory</w:t>
            </w:r>
          </w:p>
        </w:tc>
        <w:tc>
          <w:tcPr>
            <w:tcW w:type="dxa" w:w="4320"/>
          </w:tcPr>
          <w:p>
            <w:r>
              <w:t>NOT approved for injection (FDA warnings issued; EMA: ATMP pathway). Topical cosmetic ≠ injectable approval</w:t>
            </w:r>
          </w:p>
        </w:tc>
      </w:tr>
      <w:tr>
        <w:tc>
          <w:tcPr>
            <w:tcW w:type="dxa" w:w="4320"/>
          </w:tcPr>
          <w:p>
            <w:r>
              <w:t>Safety</w:t>
            </w:r>
          </w:p>
        </w:tc>
        <w:tc>
          <w:tcPr>
            <w:tcW w:type="dxa" w:w="4320"/>
          </w:tcPr>
          <w:p>
            <w:r>
              <w:t>Theoretical: immunogenicity, infection, oncogenic cargo. Serious events linked to unregulated injectables. Long-term data absent</w:t>
            </w:r>
          </w:p>
        </w:tc>
      </w:tr>
      <w:tr>
        <w:tc>
          <w:tcPr>
            <w:tcW w:type="dxa" w:w="4320"/>
          </w:tcPr>
          <w:p>
            <w:r>
              <w:t>Practical position</w:t>
            </w:r>
          </w:p>
        </w:tc>
        <w:tc>
          <w:tcPr>
            <w:tcW w:type="dxa" w:w="4320"/>
          </w:tcPr>
          <w:p>
            <w:r>
              <w:t>Topical/post-procedure adjuvant where legal; injection only in trials/permissive jurisdictions; explicit investigational consent</w:t>
            </w:r>
          </w:p>
        </w:tc>
      </w:tr>
    </w:tbl>
    <w:p/>
    <w:p>
      <w:r>
        <w:rPr>
          <w:b/>
          <w:i w:val="0"/>
        </w:rPr>
        <w:t>Red flags when sourcing: no characterization data, no potency assay, no sterility/endotoxin certification, 'miracle' claims, no registered trial.</w:t>
      </w:r>
    </w:p>
    <w:p>
      <w:pPr>
        <w:pStyle w:val="Heading1"/>
      </w:pPr>
      <w:r>
        <w:rPr>
          <w:color w:val="3B1F3E"/>
        </w:rPr>
        <w:t>4. Polynucleotides (PN / PDRN)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4320"/>
          </w:tcPr>
          <w:p>
            <w:r>
              <w:t>Definition</w:t>
            </w:r>
          </w:p>
        </w:tc>
        <w:tc>
          <w:tcPr>
            <w:tcW w:type="dxa" w:w="4320"/>
          </w:tcPr>
          <w:p>
            <w:r>
              <w:t>Highly purified, depyrogenated DNA polymers (usually salmon/trout-derived); PDRN = drug-grade shorter fraction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Adenosine A2A receptor activation (anti-inflammatory, pro-angiogenic, pro-fibroblast) + nucleotide salvage substrate + hydration</w:t>
            </w:r>
          </w:p>
        </w:tc>
      </w:tr>
      <w:tr>
        <w:tc>
          <w:tcPr>
            <w:tcW w:type="dxa" w:w="4320"/>
          </w:tcPr>
          <w:p>
            <w:r>
              <w:t>Skin evidence</w:t>
            </w:r>
          </w:p>
        </w:tc>
        <w:tc>
          <w:tcPr>
            <w:tcW w:type="dxa" w:w="4320"/>
          </w:tcPr>
          <w:p>
            <w:r>
              <w:t>Level B — multiple split-face RCTs: elasticity, hydration, roughness, fine lines, dermal density on ultrasound</w:t>
            </w:r>
          </w:p>
        </w:tc>
      </w:tr>
      <w:tr>
        <w:tc>
          <w:tcPr>
            <w:tcW w:type="dxa" w:w="4320"/>
          </w:tcPr>
          <w:p>
            <w:r>
              <w:t>Special zones</w:t>
            </w:r>
          </w:p>
        </w:tc>
        <w:tc>
          <w:tcPr>
            <w:tcW w:type="dxa" w:w="4320"/>
          </w:tcPr>
          <w:p>
            <w:r>
              <w:t>Periocular, neck, décolletage, hands — Level B–C; excellent for thin crepey skin</w:t>
            </w:r>
          </w:p>
        </w:tc>
      </w:tr>
      <w:tr>
        <w:tc>
          <w:tcPr>
            <w:tcW w:type="dxa" w:w="4320"/>
          </w:tcPr>
          <w:p>
            <w:r>
              <w:t>Hair evidence</w:t>
            </w:r>
          </w:p>
        </w:tc>
        <w:tc>
          <w:tcPr>
            <w:tcW w:type="dxa" w:w="4320"/>
          </w:tcPr>
          <w:p>
            <w:r>
              <w:t>Level C — pilot studies in AGA/telogen effluvium; trichoscopy density and anagen:telogen improvements</w:t>
            </w:r>
          </w:p>
        </w:tc>
      </w:tr>
      <w:tr>
        <w:tc>
          <w:tcPr>
            <w:tcW w:type="dxa" w:w="4320"/>
          </w:tcPr>
          <w:p>
            <w:r>
              <w:t>Typical protocol</w:t>
            </w:r>
          </w:p>
        </w:tc>
        <w:tc>
          <w:tcPr>
            <w:tcW w:type="dxa" w:w="4320"/>
          </w:tcPr>
          <w:p>
            <w:r>
              <w:t>2 mL/session intradermal (micro-depot 0.02–0.05 mL or nappage); 3–4 sessions q2–4 weeks; maintenance q3–6 months</w:t>
            </w:r>
          </w:p>
        </w:tc>
      </w:tr>
      <w:tr>
        <w:tc>
          <w:tcPr>
            <w:tcW w:type="dxa" w:w="4320"/>
          </w:tcPr>
          <w:p>
            <w:r>
              <w:t>Safety</w:t>
            </w:r>
          </w:p>
        </w:tc>
        <w:tc>
          <w:tcPr>
            <w:tcW w:type="dxa" w:w="4320"/>
          </w:tcPr>
          <w:p>
            <w:r>
              <w:t>Excellent record; transient papules 24–72 h, bruising. Screen fish-protein allergy; avoid in pregnancy/active infection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First-line evidence-graded injectable for skin quality in this review</w:t>
            </w:r>
          </w:p>
        </w:tc>
      </w:tr>
    </w:tbl>
    <w:p/>
    <w:p>
      <w:pPr>
        <w:pStyle w:val="Heading1"/>
      </w:pPr>
      <w:r>
        <w:rPr>
          <w:color w:val="3B1F3E"/>
        </w:rPr>
        <w:t>5. Biomimetic Peptides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t>Signal</w:t>
            </w:r>
          </w:p>
        </w:tc>
        <w:tc>
          <w:tcPr>
            <w:tcW w:type="dxa" w:w="2160"/>
          </w:tcPr>
          <w:p>
            <w:r>
              <w:t>Palmitoyl pentapeptide-4 (pal-KTTKS)</w:t>
            </w:r>
          </w:p>
        </w:tc>
        <w:tc>
          <w:tcPr>
            <w:tcW w:type="dxa" w:w="2160"/>
          </w:tcPr>
          <w:p>
            <w:r>
              <w:t>Collagen I fragment mimic → ECM synthesis</w:t>
            </w:r>
          </w:p>
        </w:tc>
        <w:tc>
          <w:tcPr>
            <w:tcW w:type="dxa" w:w="2160"/>
          </w:tcPr>
          <w:p>
            <w:r>
              <w:t>Level B (topical RCT)</w:t>
            </w:r>
          </w:p>
        </w:tc>
      </w:tr>
      <w:tr>
        <w:tc>
          <w:tcPr>
            <w:tcW w:type="dxa" w:w="2160"/>
          </w:tcPr>
          <w:p>
            <w:r>
              <w:t>Carrier</w:t>
            </w:r>
          </w:p>
        </w:tc>
        <w:tc>
          <w:tcPr>
            <w:tcW w:type="dxa" w:w="2160"/>
          </w:tcPr>
          <w:p>
            <w:r>
              <w:t>GHK-Cu</w:t>
            </w:r>
          </w:p>
        </w:tc>
        <w:tc>
          <w:tcPr>
            <w:tcW w:type="dxa" w:w="2160"/>
          </w:tcPr>
          <w:p>
            <w:r>
              <w:t>Cu²⁺ delivery; ↑ collagen/elastin/GAG, lysyl oxidase, SOD; falls ~60% age 20→60</w:t>
            </w:r>
          </w:p>
        </w:tc>
        <w:tc>
          <w:tcPr>
            <w:tcW w:type="dxa" w:w="2160"/>
          </w:tcPr>
          <w:p>
            <w:r>
              <w:t>Level C</w:t>
            </w:r>
          </w:p>
        </w:tc>
      </w:tr>
      <w:tr>
        <w:tc>
          <w:tcPr>
            <w:tcW w:type="dxa" w:w="2160"/>
          </w:tcPr>
          <w:p>
            <w:r>
              <w:t>Neurotransmitter-inhibiting</w:t>
            </w:r>
          </w:p>
        </w:tc>
        <w:tc>
          <w:tcPr>
            <w:tcW w:type="dxa" w:w="2160"/>
          </w:tcPr>
          <w:p>
            <w:r>
              <w:t>Acetyl hexapeptide-8 (argireline)</w:t>
            </w:r>
          </w:p>
        </w:tc>
        <w:tc>
          <w:tcPr>
            <w:tcW w:type="dxa" w:w="2160"/>
          </w:tcPr>
          <w:p>
            <w:r>
              <w:t>Topical botox-like SNARE modulation</w:t>
            </w:r>
          </w:p>
        </w:tc>
        <w:tc>
          <w:tcPr>
            <w:tcW w:type="dxa" w:w="2160"/>
          </w:tcPr>
          <w:p>
            <w:r>
              <w:t>Level C (topical)</w:t>
            </w:r>
          </w:p>
        </w:tc>
      </w:tr>
      <w:tr>
        <w:tc>
          <w:tcPr>
            <w:tcW w:type="dxa" w:w="2160"/>
          </w:tcPr>
          <w:p>
            <w:r>
              <w:t>Hair peptides</w:t>
            </w:r>
          </w:p>
        </w:tc>
        <w:tc>
          <w:tcPr>
            <w:tcW w:type="dxa" w:w="2160"/>
          </w:tcPr>
          <w:p>
            <w:r>
              <w:t>Biotinoyl tripeptide-1, acetyl tetrapeptide-3</w:t>
            </w:r>
          </w:p>
        </w:tc>
        <w:tc>
          <w:tcPr>
            <w:tcW w:type="dxa" w:w="2160"/>
          </w:tcPr>
          <w:p>
            <w:r>
              <w:t>Follicle anchoring claims</w:t>
            </w:r>
          </w:p>
        </w:tc>
        <w:tc>
          <w:tcPr>
            <w:tcW w:type="dxa" w:w="2160"/>
          </w:tcPr>
          <w:p>
            <w:r>
              <w:t>Level D</w:t>
            </w:r>
          </w:p>
        </w:tc>
      </w:tr>
      <w:tr>
        <w:tc>
          <w:tcPr>
            <w:tcW w:type="dxa" w:w="2160"/>
          </w:tcPr>
          <w:p>
            <w:r>
              <w:t>Injectable boosters</w:t>
            </w:r>
          </w:p>
        </w:tc>
        <w:tc>
          <w:tcPr>
            <w:tcW w:type="dxa" w:w="2160"/>
          </w:tcPr>
          <w:p>
            <w:r>
              <w:t>Peptide + non-cross-linked HA cocktails</w:t>
            </w:r>
          </w:p>
        </w:tc>
        <w:tc>
          <w:tcPr>
            <w:tcW w:type="dxa" w:w="2160"/>
          </w:tcPr>
          <w:p>
            <w:r>
              <w:t>Skin quality, post-procedure recovery</w:t>
            </w:r>
          </w:p>
        </w:tc>
        <w:tc>
          <w:tcPr>
            <w:tcW w:type="dxa" w:w="2160"/>
          </w:tcPr>
          <w:p>
            <w:r>
              <w:t>Level C</w:t>
            </w:r>
          </w:p>
        </w:tc>
      </w:tr>
    </w:tbl>
    <w:p/>
    <w:p>
      <w:pPr>
        <w:pStyle w:val="ListBullet"/>
      </w:pPr>
      <w:r>
        <w:t>Topical use: daily leave-on; expect visible change at 8–12 weeks.</w:t>
      </w:r>
    </w:p>
    <w:p>
      <w:pPr>
        <w:pStyle w:val="ListBullet"/>
      </w:pPr>
      <w:r>
        <w:t>Injectable boosters: 2–3 monthly sessions, then quarterly maintenance.</w:t>
      </w:r>
    </w:p>
    <w:p>
      <w:pPr>
        <w:pStyle w:val="ListBullet"/>
      </w:pPr>
      <w:r>
        <w:t>Copper peptides: avoid excessive local dosing (pro-oxidant at high concentrations).</w:t>
      </w:r>
    </w:p>
    <w:p>
      <w:pPr>
        <w:pStyle w:val="ListBullet"/>
      </w:pPr>
      <w:r>
        <w:t>Always ask for studies on the FINAL formulation, not the raw molecule; vehicle determines penetration.</w:t>
      </w:r>
    </w:p>
    <w:p>
      <w:pPr>
        <w:pStyle w:val="Heading1"/>
      </w:pPr>
      <w:r>
        <w:rPr>
          <w:color w:val="3B1F3E"/>
        </w:rPr>
        <w:t>6. Matrix-Centric Protocol Builder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Presentation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First-line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Adjunct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Backbone</w:t>
            </w:r>
          </w:p>
        </w:tc>
      </w:tr>
      <w:tr>
        <w:tc>
          <w:tcPr>
            <w:tcW w:type="dxa" w:w="2160"/>
          </w:tcPr>
          <w:p>
            <w:r>
              <w:t>Crepey periocular / fine lines</w:t>
            </w:r>
          </w:p>
        </w:tc>
        <w:tc>
          <w:tcPr>
            <w:tcW w:type="dxa" w:w="2160"/>
          </w:tcPr>
          <w:p>
            <w:r>
              <w:t>PN course (3–4 sessions)</w:t>
            </w:r>
          </w:p>
        </w:tc>
        <w:tc>
          <w:tcPr>
            <w:tcW w:type="dxa" w:w="2160"/>
          </w:tcPr>
          <w:p>
            <w:r>
              <w:t>Peptide booster maintenance</w:t>
            </w:r>
          </w:p>
        </w:tc>
        <w:tc>
          <w:tcPr>
            <w:tcW w:type="dxa" w:w="2160"/>
          </w:tcPr>
          <w:p>
            <w:r>
              <w:t>SPF, retinoid, antioxidant</w:t>
            </w:r>
          </w:p>
        </w:tc>
      </w:tr>
      <w:tr>
        <w:tc>
          <w:tcPr>
            <w:tcW w:type="dxa" w:w="2160"/>
          </w:tcPr>
          <w:p>
            <w:r>
              <w:t>General skin quality / early laxity</w:t>
            </w:r>
          </w:p>
        </w:tc>
        <w:tc>
          <w:tcPr>
            <w:tcW w:type="dxa" w:w="2160"/>
          </w:tcPr>
          <w:p>
            <w:r>
              <w:t>PN ± non-cross-linked HA</w:t>
            </w:r>
          </w:p>
        </w:tc>
        <w:tc>
          <w:tcPr>
            <w:tcW w:type="dxa" w:w="2160"/>
          </w:tcPr>
          <w:p>
            <w:r>
              <w:t>Hyperdilute CaHA (scaffold) — staged</w:t>
            </w:r>
          </w:p>
        </w:tc>
        <w:tc>
          <w:tcPr>
            <w:tcW w:type="dxa" w:w="2160"/>
          </w:tcPr>
          <w:p>
            <w:r>
              <w:t>SPF, retinoid</w:t>
            </w:r>
          </w:p>
        </w:tc>
      </w:tr>
      <w:tr>
        <w:tc>
          <w:tcPr>
            <w:tcW w:type="dxa" w:w="2160"/>
          </w:tcPr>
          <w:p>
            <w:r>
              <w:t>Post-laser / RF recovery</w:t>
            </w:r>
          </w:p>
        </w:tc>
        <w:tc>
          <w:tcPr>
            <w:tcW w:type="dxa" w:w="2160"/>
          </w:tcPr>
          <w:p>
            <w:r>
              <w:t>Standard wound care</w:t>
            </w:r>
          </w:p>
        </w:tc>
        <w:tc>
          <w:tcPr>
            <w:tcW w:type="dxa" w:w="2160"/>
          </w:tcPr>
          <w:p>
            <w:r>
              <w:t>Topical exosome or peptide adjuvant (where legal)</w:t>
            </w:r>
          </w:p>
        </w:tc>
        <w:tc>
          <w:tcPr>
            <w:tcW w:type="dxa" w:w="2160"/>
          </w:tcPr>
          <w:p>
            <w:r>
              <w:t>SPF, barrier repair</w:t>
            </w:r>
          </w:p>
        </w:tc>
      </w:tr>
      <w:tr>
        <w:tc>
          <w:tcPr>
            <w:tcW w:type="dxa" w:w="2160"/>
          </w:tcPr>
          <w:p>
            <w:r>
              <w:t>Early AGA (men)</w:t>
            </w:r>
          </w:p>
        </w:tc>
        <w:tc>
          <w:tcPr>
            <w:tcW w:type="dxa" w:w="2160"/>
          </w:tcPr>
          <w:p>
            <w:r>
              <w:t>Finasteride + minoxidil (standard care)</w:t>
            </w:r>
          </w:p>
        </w:tc>
        <w:tc>
          <w:tcPr>
            <w:tcW w:type="dxa" w:w="2160"/>
          </w:tcPr>
          <w:p>
            <w:r>
              <w:t>PN or PRP scalp series; exosomes investigational</w:t>
            </w:r>
          </w:p>
        </w:tc>
        <w:tc>
          <w:tcPr>
            <w:tcW w:type="dxa" w:w="2160"/>
          </w:tcPr>
          <w:p>
            <w:r>
              <w:t>Trichoscopy q12 wks</w:t>
            </w:r>
          </w:p>
        </w:tc>
      </w:tr>
      <w:tr>
        <w:tc>
          <w:tcPr>
            <w:tcW w:type="dxa" w:w="2160"/>
          </w:tcPr>
          <w:p>
            <w:r>
              <w:t>Telogen effluvium</w:t>
            </w:r>
          </w:p>
        </w:tc>
        <w:tc>
          <w:tcPr>
            <w:tcW w:type="dxa" w:w="2160"/>
          </w:tcPr>
          <w:p>
            <w:r>
              <w:t>Treat trigger</w:t>
            </w:r>
          </w:p>
        </w:tc>
        <w:tc>
          <w:tcPr>
            <w:tcW w:type="dxa" w:w="2160"/>
          </w:tcPr>
          <w:p>
            <w:r>
              <w:t>PN scalp course; peptide leave-on serum</w:t>
            </w:r>
          </w:p>
        </w:tc>
        <w:tc>
          <w:tcPr>
            <w:tcW w:type="dxa" w:w="2160"/>
          </w:tcPr>
          <w:p>
            <w:r>
              <w:t>Ferritin/thyroid/vitamin D workup</w:t>
            </w:r>
          </w:p>
        </w:tc>
      </w:tr>
      <w:tr>
        <w:tc>
          <w:tcPr>
            <w:tcW w:type="dxa" w:w="2160"/>
          </w:tcPr>
          <w:p>
            <w:r>
              <w:t>Perimenopausal skin thinning</w:t>
            </w:r>
          </w:p>
        </w:tc>
        <w:tc>
          <w:tcPr>
            <w:tcW w:type="dxa" w:w="2160"/>
          </w:tcPr>
          <w:p>
            <w:r>
              <w:t>PN + HA skin booster</w:t>
            </w:r>
          </w:p>
        </w:tc>
        <w:tc>
          <w:tcPr>
            <w:tcW w:type="dxa" w:w="2160"/>
          </w:tcPr>
          <w:p>
            <w:r>
              <w:t>Hormonal review with GP/gynecology</w:t>
            </w:r>
          </w:p>
        </w:tc>
        <w:tc>
          <w:tcPr>
            <w:tcW w:type="dxa" w:w="2160"/>
          </w:tcPr>
          <w:p>
            <w:r>
              <w:t>SPF, retinoid, protein intake</w:t>
            </w:r>
          </w:p>
        </w:tc>
      </w:tr>
    </w:tbl>
    <w:p/>
    <w:p>
      <w:r>
        <w:rPr>
          <w:b/>
          <w:i w:val="0"/>
        </w:rPr>
        <w:t>Sequencing rule: energy device first → regenerative injectable after re-epithelialization (or per validated protocol). Do not stack redundant signalers in one session.</w:t>
      </w:r>
    </w:p>
    <w:p>
      <w:pPr>
        <w:pStyle w:val="Heading1"/>
      </w:pPr>
      <w:r>
        <w:rPr>
          <w:color w:val="3B1F3E"/>
        </w:rPr>
        <w:t>7. Safety Governance Checklist</w:t>
      </w:r>
    </w:p>
    <w:p>
      <w:pPr>
        <w:pStyle w:val="ListBullet"/>
      </w:pPr>
      <w:r>
        <w:t>Verify source, lot, and QC documentation for every biologic (CoA, sterility, endotoxin, characterization).</w:t>
      </w:r>
    </w:p>
    <w:p>
      <w:pPr>
        <w:pStyle w:val="ListBullet"/>
      </w:pPr>
      <w:r>
        <w:t>Consent form distinguishes evidence grades; investigational status stated explicitly (exosomes).</w:t>
      </w:r>
    </w:p>
    <w:p>
      <w:pPr>
        <w:pStyle w:val="ListBullet"/>
      </w:pPr>
      <w:r>
        <w:t>Aseptic technique; vascular anatomy competence; emergency kit: hyaluronidase, anaphylaxis protocol, referral pathway.</w:t>
      </w:r>
    </w:p>
    <w:p>
      <w:pPr>
        <w:pStyle w:val="ListBullet"/>
      </w:pPr>
      <w:r>
        <w:t>Adverse-event log; report to registries and authorities.</w:t>
      </w:r>
    </w:p>
    <w:p>
      <w:pPr>
        <w:pStyle w:val="ListBullet"/>
      </w:pPr>
      <w:r>
        <w:t>Objective monitoring: cutometry, dermal ultrasound, standardized photography, trichoscopy/phototrichogram.</w:t>
      </w:r>
    </w:p>
    <w:p>
      <w:pPr>
        <w:pStyle w:val="Heading1"/>
      </w:pPr>
      <w:r>
        <w:rPr>
          <w:color w:val="3B1F3E"/>
        </w:rPr>
        <w:t>8. Pretest &amp; Posttest Answer Keys with Rationales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Collagen I is ~80–85% of dermal collagen — the dominant structural protein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PDRN's repair effects are mediated via adenosine A2A receptor activation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Exosomes are 30–150 nm endosomal extracellular vesicles</w:t>
            </w:r>
          </w:p>
        </w:tc>
      </w:tr>
      <w:tr>
        <w:tc>
          <w:tcPr>
            <w:tcW w:type="dxa" w:w="2880"/>
          </w:tcPr>
          <w:p>
            <w:r>
              <w:t>Q4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GHK-Cu is a copper-binding carrier tripeptide</w:t>
            </w:r>
          </w:p>
        </w:tc>
      </w:tr>
      <w:tr>
        <w:tc>
          <w:tcPr>
            <w:tcW w:type="dxa" w:w="2880"/>
          </w:tcPr>
          <w:p>
            <w:r>
              <w:t>Q5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Senescent fibroblasts degrade ECM through SASP (IL-6/IL-8/MMPs)</w:t>
            </w:r>
          </w:p>
        </w:tc>
      </w:tr>
      <w:tr>
        <w:tc>
          <w:tcPr>
            <w:tcW w:type="dxa" w:w="2880"/>
          </w:tcPr>
          <w:p>
            <w:r>
              <w:t>Q6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Chemical intelligence = instructive bioactive signaling molecules</w:t>
            </w:r>
          </w:p>
        </w:tc>
      </w:tr>
      <w:tr>
        <w:tc>
          <w:tcPr>
            <w:tcW w:type="dxa" w:w="2880"/>
          </w:tcPr>
          <w:p>
            <w:r>
              <w:t>Q7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Injectable exosomes are unapproved in most jurisdictions</w:t>
            </w:r>
          </w:p>
        </w:tc>
      </w:tr>
      <w:tr>
        <w:tc>
          <w:tcPr>
            <w:tcW w:type="dxa" w:w="2880"/>
          </w:tcPr>
          <w:p>
            <w:r>
              <w:t>Q8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Polynucleotides are polymers of nucleotides (DNA fragments)</w:t>
            </w:r>
          </w:p>
        </w:tc>
      </w:tr>
      <w:tr>
        <w:tc>
          <w:tcPr>
            <w:tcW w:type="dxa" w:w="2880"/>
          </w:tcPr>
          <w:p>
            <w:r>
              <w:t>Q9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Palmitoyl pentapeptide mimics the KTTKS collagen I fragment</w:t>
            </w:r>
          </w:p>
        </w:tc>
      </w:tr>
      <w:tr>
        <w:tc>
          <w:tcPr>
            <w:tcW w:type="dxa" w:w="2880"/>
          </w:tcPr>
          <w:p>
            <w:r>
              <w:t>Q10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Trichoscopy/phototrichogram is the standard objective hair measure</w:t>
            </w:r>
          </w:p>
        </w:tc>
      </w:tr>
    </w:tbl>
    <w:p/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UV → AP-1 → MMP-1/3/9 drives collagen breakdown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A2A activation is anti-inflammatory and pro-angiogenic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Polynucleotides hold the strongest human RCT evidence (Level B)</w:t>
            </w:r>
          </w:p>
        </w:tc>
      </w:tr>
      <w:tr>
        <w:tc>
          <w:tcPr>
            <w:tcW w:type="dxa" w:w="2880"/>
          </w:tcPr>
          <w:p>
            <w:r>
              <w:t>Q4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CD9/CD63/CD81 tetraspanins characterize exosomes</w:t>
            </w:r>
          </w:p>
        </w:tc>
      </w:tr>
      <w:tr>
        <w:tc>
          <w:tcPr>
            <w:tcW w:type="dxa" w:w="2880"/>
          </w:tcPr>
          <w:p>
            <w:r>
              <w:t>Q5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Standard PN course: 3–4 sessions at 2–4 week intervals</w:t>
            </w:r>
          </w:p>
        </w:tc>
      </w:tr>
      <w:tr>
        <w:tc>
          <w:tcPr>
            <w:tcW w:type="dxa" w:w="2880"/>
          </w:tcPr>
          <w:p>
            <w:r>
              <w:t>Q6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DP ECM volume correlates with follicle size and hair caliber</w:t>
            </w:r>
          </w:p>
        </w:tc>
      </w:tr>
      <w:tr>
        <w:tc>
          <w:tcPr>
            <w:tcW w:type="dxa" w:w="2880"/>
          </w:tcPr>
          <w:p>
            <w:r>
              <w:t>Q7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Matrikines are ECM-derived signaling peptide fragments</w:t>
            </w:r>
          </w:p>
        </w:tc>
      </w:tr>
      <w:tr>
        <w:tc>
          <w:tcPr>
            <w:tcW w:type="dxa" w:w="2880"/>
          </w:tcPr>
          <w:p>
            <w:r>
              <w:t>Q8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GHK-Cu declines ~60% between ages 20 and 60</w:t>
            </w:r>
          </w:p>
        </w:tc>
      </w:tr>
      <w:tr>
        <w:tc>
          <w:tcPr>
            <w:tcW w:type="dxa" w:w="2880"/>
          </w:tcPr>
          <w:p>
            <w:r>
              <w:t>Q9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Injectable exosomes are investigational/unapproved in most regions</w:t>
            </w:r>
          </w:p>
        </w:tc>
      </w:tr>
      <w:tr>
        <w:tc>
          <w:tcPr>
            <w:tcW w:type="dxa" w:w="2880"/>
          </w:tcPr>
          <w:p>
            <w:r>
              <w:t>Q10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PN is the evidence-graded first-line injectable for skin quality</w:t>
            </w:r>
          </w:p>
        </w:tc>
      </w:tr>
    </w:tbl>
    <w:p/>
    <w:p>
      <w:pPr>
        <w:pStyle w:val="Heading1"/>
      </w:pPr>
      <w:r>
        <w:rPr>
          <w:color w:val="3B1F3E"/>
        </w:rPr>
        <w:t>9. Selected References (2015–2026)</w:t>
      </w:r>
    </w:p>
    <w:p>
      <w:pPr>
        <w:pStyle w:val="ListNumber"/>
      </w:pPr>
      <w:r>
        <w:t>Fisher GJ, et al. Mechanisms of photoaging, collagen fragmentation and fibroblast mechanosensing in aged skin. Am J Pathol / Arch Dermatol.</w:t>
      </w:r>
    </w:p>
    <w:p>
      <w:pPr>
        <w:pStyle w:val="ListNumber"/>
      </w:pPr>
      <w:r>
        <w:t>Squadrito F, et al. PDRN and the adenosine A2A receptor in wound healing and tissue repair. Wound Repair Regen; Front Pharmacol.</w:t>
      </w:r>
    </w:p>
    <w:p>
      <w:pPr>
        <w:pStyle w:val="ListNumber"/>
      </w:pPr>
      <w:r>
        <w:t>Cavallini M, et al. Polynucleotides in facial rejuvenation: split-face randomized data. J Cosmet Dermatol.</w:t>
      </w:r>
    </w:p>
    <w:p>
      <w:pPr>
        <w:pStyle w:val="ListNumber"/>
      </w:pPr>
      <w:r>
        <w:t>Khan A, et al. Polynucleotide skin boosters: clinical and ultrasound outcomes. J Cosmet Dermatol.</w:t>
      </w:r>
    </w:p>
    <w:p>
      <w:pPr>
        <w:pStyle w:val="ListNumber"/>
      </w:pPr>
      <w:r>
        <w:t>Gentile P, Garcovich S. Systematic reviews of extracellular vesicles/exosomes in skin rejuvenation and androgenetic alopecia. J Clin Med.</w:t>
      </w:r>
    </w:p>
    <w:p>
      <w:pPr>
        <w:pStyle w:val="ListNumber"/>
      </w:pPr>
      <w:r>
        <w:t>Pickart L, Margolina A. Regenerative and protective actions of GHK-Cu. Int J Mol Sci, 2018.</w:t>
      </w:r>
    </w:p>
    <w:p>
      <w:pPr>
        <w:pStyle w:val="ListNumber"/>
      </w:pPr>
      <w:r>
        <w:t>Fields K, et al. Topical signal peptides in photoaging: randomized controlled data. Int J Cosmet Sci.</w:t>
      </w:r>
    </w:p>
    <w:p>
      <w:pPr>
        <w:pStyle w:val="ListNumber"/>
      </w:pPr>
      <w:r>
        <w:t>FDA. Public safety notification on exosome products (2019) and subsequent warnings on unapproved regenerative products.</w:t>
      </w:r>
    </w:p>
    <w:p>
      <w:pPr>
        <w:pStyle w:val="ListNumber"/>
      </w:pPr>
      <w:r>
        <w:t>Narayan RS, et al. Hair follicle aging and dermal papilla ECM dysfunction. Exp Dermatol.</w:t>
      </w:r>
    </w:p>
    <w:p>
      <w:pPr>
        <w:pStyle w:val="ListNumber"/>
      </w:pPr>
      <w:r>
        <w:t>3D Rejuvenation Academy CME module materials, 2026. www.3drejuvenationcode.com</w:t>
      </w:r>
    </w:p>
    <w:p/>
    <w:p>
      <w:r>
        <w:rPr>
          <w:b w:val="0"/>
          <w:i/>
        </w:rPr>
        <w:t>© 2026 Dr. Amr Ismail, MD | 3D Rejuvenation Academy — Approved CPD Provider |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