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Evidence-Based Advanced Facial Aesthetics Injectables in Skin &amp; Hair Longevity</w:t>
      </w:r>
    </w:p>
    <w:p>
      <w:r>
        <w:rPr>
          <w:b/>
        </w:rPr>
        <w:t>THE DERMAL EXTRACELLULAR MATRIX — CHEMICAL INTELLIGENCE</w:t>
      </w:r>
    </w:p>
    <w:p>
      <w:r>
        <w:t>Exosomes • Polynucleotides • Biomimetic Peptides | 2026 Literature Review</w:t>
      </w:r>
    </w:p>
    <w:p>
      <w:r>
        <w:t>Slide-by-Slide Narration Script</w:t>
      </w:r>
    </w:p>
    <w:p>
      <w:r>
        <w:t>By Dr. Amr Ismail, MD | Founder, 3D Rejuvenation Academy | © 2026 All rights reserved</w:t>
      </w:r>
    </w:p>
    <w:p>
      <w:r>
        <w:t>www.3drejuvenationcode.com | 3D Rejuvenation Academy — Approved CPD Provider</w:t>
      </w:r>
    </w:p>
    <w:p/>
    <w:p>
      <w:pPr>
        <w:pStyle w:val="Heading1"/>
      </w:pPr>
      <w:r>
        <w:rPr>
          <w:color w:val="3B1F3E"/>
        </w:rPr>
        <w:t>Slide 1: Evidence-Based Advanced Facial Aesthetics Injectables in Skin &amp; Hair Longevity</w:t>
      </w:r>
    </w:p>
    <w:p>
      <w:r>
        <w:rPr>
          <w:b/>
        </w:rPr>
        <w:t xml:space="preserve">On-screen bullets: </w:t>
      </w:r>
      <w:r>
        <w:t>THE DERMAL EXTRACELLULAR MATRIX — CHEMICAL INTELLIGENCE | Exosomes • Polynucleotides • Biomimetic Peptides | 2026 Literature Review &amp; CME Activity | Dr. Amr Ismail, MD — Founder, 3D Rejuvenation Academy | www.3drejuvenationcode.com</w:t>
      </w:r>
    </w:p>
    <w:p>
      <w:r>
        <w:rPr>
          <w:b/>
        </w:rPr>
        <w:t xml:space="preserve">Narration: </w:t>
      </w:r>
      <w:r>
        <w:t>Welcome to this evidence-based advanced literature review on injectable regenerative aesthetics. Across these modules we examine the dermal extracellular matrix as the central therapeutic target and the chemical intelligence of three emerging injectable classes: exosomes, polynucleotides, and biomimetic peptides, with critical appraisal for skin and hair longevity practice in 2026.</w:t>
      </w:r>
    </w:p>
    <w:p>
      <w:pPr>
        <w:pStyle w:val="Heading1"/>
      </w:pPr>
      <w:r>
        <w:rPr>
          <w:color w:val="3B1F3E"/>
        </w:rPr>
        <w:t>Slide 2: Copyright &amp; Accreditation Notice</w:t>
      </w:r>
    </w:p>
    <w:p>
      <w:r>
        <w:rPr>
          <w:b/>
        </w:rPr>
        <w:t xml:space="preserve">On-screen bullets: </w:t>
      </w:r>
      <w:r>
        <w:t>© 2026 Dr. Amr Ismail, MD. All rights reserved. | Founder — 3D Rejuvenation Academy | 3D Rejuvenation Academy — Approved CPD Provider | www.3drejuvenationcode.com | No part may be reproduced without written permission</w:t>
      </w:r>
    </w:p>
    <w:p>
      <w:r>
        <w:rPr>
          <w:b/>
        </w:rPr>
        <w:t xml:space="preserve">Narration: </w:t>
      </w:r>
      <w:r>
        <w:t>This educational activity is the intellectual property of Dr. Amr Ismail and the 3D Rejuvenation Academy, an approved CPD provider. Reproduction or commercial use without written consent is prohibited. CPD credit is claimed upon completion of the pretest, full review of the material, and a passing posttest score of seventy percent or higher.</w:t>
      </w:r>
    </w:p>
    <w:p>
      <w:pPr>
        <w:pStyle w:val="Heading1"/>
      </w:pPr>
      <w:r>
        <w:rPr>
          <w:color w:val="3B1F3E"/>
        </w:rPr>
        <w:t>Slide 3: Disclosures &amp; Educational Disclaimer</w:t>
      </w:r>
    </w:p>
    <w:p>
      <w:r>
        <w:rPr>
          <w:b/>
        </w:rPr>
        <w:t xml:space="preserve">On-screen bullets: </w:t>
      </w:r>
      <w:r>
        <w:t>Content independent and free of commercial bias | Off-label and investigational uses clearly identified | Exosome products NOT approved for injection in most jurisdictions | Educational activity — not a substitute for clinical judgment | Verify local regulations and scope of practice before use</w:t>
      </w:r>
    </w:p>
    <w:p>
      <w:r>
        <w:rPr>
          <w:b/>
        </w:rPr>
        <w:t xml:space="preserve">Narration: </w:t>
      </w:r>
      <w:r>
        <w:t>The author reports no relevant financial conflicts of interest. Several therapies discussed, particularly injectable exosomes, remain investigational or unapproved in many regulatory regions; these are explicitly flagged. Clinicians must apply independent judgment, confirm local regulatory status, and practice within their licensed scope.</w:t>
      </w:r>
    </w:p>
    <w:p>
      <w:pPr>
        <w:pStyle w:val="Heading1"/>
      </w:pPr>
      <w:r>
        <w:rPr>
          <w:color w:val="3B1F3E"/>
        </w:rPr>
        <w:t>Slide 4: Learning Objectives</w:t>
      </w:r>
    </w:p>
    <w:p>
      <w:r>
        <w:rPr>
          <w:b/>
        </w:rPr>
        <w:t xml:space="preserve">On-screen bullets: </w:t>
      </w:r>
      <w:r>
        <w:t>Describe dermal ECM architecture and remodeling in skin aging and hair cycling | Explain 'chemical intelligence' — instructive signaling in regenerative injectables | Critically appraise 2026 evidence for exosomes, polynucleotides, biomimetic peptides | Select candidates and design evidence-aligned protocols | Recognize regulatory, safety, and quality-control boundaries</w:t>
      </w:r>
    </w:p>
    <w:p>
      <w:r>
        <w:rPr>
          <w:b/>
        </w:rPr>
        <w:t xml:space="preserve">Narration: </w:t>
      </w:r>
      <w:r>
        <w:t>By the end of this activity you should be able to describe how the extracellular matrix drives skin and hair aging, explain chemical intelligence in injectable biologics, appraise the literature on the three agent classes critically, build rational protocols, and navigate the regulatory and safety landscape responsibly.</w:t>
      </w:r>
    </w:p>
    <w:p>
      <w:pPr>
        <w:pStyle w:val="Heading1"/>
      </w:pPr>
      <w:r>
        <w:rPr>
          <w:color w:val="3B1F3E"/>
        </w:rPr>
        <w:t>Slide 5: CME / CPD Alignment &amp; Completion Instructions</w:t>
      </w:r>
    </w:p>
    <w:p>
      <w:r>
        <w:rPr>
          <w:b/>
        </w:rPr>
        <w:t xml:space="preserve">On-screen bullets: </w:t>
      </w:r>
      <w:r>
        <w:t>Accredited-style enduring material; ~3.0 CPD hours | Step 1: 10-item pretest (unscored self-assessment) | Step 2: Review all modules in sequence | Step 3: 10-item posttest — pass mark ≥ 70% | Certificate issued by 3D Rejuvenation Academy</w:t>
      </w:r>
    </w:p>
    <w:p>
      <w:r>
        <w:rPr>
          <w:b/>
        </w:rPr>
        <w:t xml:space="preserve">Narration: </w:t>
      </w:r>
      <w:r>
        <w:t>This enduring material is structured as a three-CPD-hour activity. Begin with the ten-question pretest to baseline your knowledge — it is unscored. Work through each module, then complete the posttest; a score of seventy percent or higher is required for the certificate of completion issued by the 3D Rejuvenation Academy.</w:t>
      </w:r>
    </w:p>
    <w:p>
      <w:pPr>
        <w:pStyle w:val="Heading1"/>
      </w:pPr>
      <w:r>
        <w:rPr>
          <w:color w:val="3B1F3E"/>
        </w:rPr>
        <w:t>Slide 6: Methodology of This 2026 Literature Review</w:t>
      </w:r>
    </w:p>
    <w:p>
      <w:r>
        <w:rPr>
          <w:b/>
        </w:rPr>
        <w:t xml:space="preserve">On-screen bullets: </w:t>
      </w:r>
      <w:r>
        <w:t>Structured search: PubMed, Embase, Cochrane, Scopus (2015–2026) | Priority: RCTs, systematic reviews, meta-analyses, split-face trials | Mechanistic/preclinical data included where clinical evidence immature | Evidence graded by design, sample size, replication | Industry-sponsored trials flagged</w:t>
      </w:r>
    </w:p>
    <w:p>
      <w:r>
        <w:rPr>
          <w:b/>
        </w:rPr>
        <w:t xml:space="preserve">Narration: </w:t>
      </w:r>
      <w:r>
        <w:t>This review synthesizes literature from 2015 through early 2026 from major biomedical databases, prioritizing randomized controlled trials, split-face studies, systematic reviews, and meta-analyses. Because parts of this field are young, mechanistic work is included but clearly labeled, and every claim is graded by evidence strength.</w:t>
      </w:r>
    </w:p>
    <w:p>
      <w:pPr>
        <w:pStyle w:val="Heading1"/>
      </w:pPr>
      <w:r>
        <w:rPr>
          <w:color w:val="3B1F3E"/>
        </w:rPr>
        <w:t>Slide 7: The 2026 Landscape of Regenerative Aesthetics</w:t>
      </w:r>
    </w:p>
    <w:p>
      <w:r>
        <w:rPr>
          <w:b/>
        </w:rPr>
        <w:t xml:space="preserve">On-screen bullets: </w:t>
      </w:r>
      <w:r>
        <w:t>Shift from volumetric correction to biological regeneration | Biostimulators and bioregulators now mainstream | Polynucleotides: fastest-growing injectable class in Europe &amp; Asia | Exosomes: high interest, heavy hype, unresolved regulation | Biomimetic peptides: maturing from cosmeceutical to injectable science</w:t>
      </w:r>
    </w:p>
    <w:p>
      <w:r>
        <w:rPr>
          <w:b/>
        </w:rPr>
        <w:t xml:space="preserve">Narration: </w:t>
      </w:r>
      <w:r>
        <w:t>The field has pivoted from filling volume to instructing tissue regeneration. Polynucleotides are among the fastest growing injectable categories in Europe and Asia, while exosomes generate enormous interest alongside unresolved regulatory and quality concerns. Biomimetic peptides are transitioning from topical marketing toward genuine injectable pharmacology.</w:t>
      </w:r>
    </w:p>
    <w:p>
      <w:pPr>
        <w:pStyle w:val="Heading1"/>
      </w:pPr>
      <w:r>
        <w:rPr>
          <w:color w:val="3B1F3E"/>
        </w:rPr>
        <w:t>Slide 8: Paradigm Shift: From Filling to Instructing</w:t>
      </w:r>
    </w:p>
    <w:p>
      <w:r>
        <w:rPr>
          <w:b/>
        </w:rPr>
        <w:t xml:space="preserve">On-screen bullets: </w:t>
      </w:r>
      <w:r>
        <w:t>Traditional fillers: passive, space-occupying, temporary | Biostimulators (PLLA, CaHA): scaffold + controlled collagenesis | New generation: instructive molecular signals — ECM chemical intelligence | Goal: restore tissue homeostasis, not just contour | Longevity framing: skin as a regenerating organ system</w:t>
      </w:r>
    </w:p>
    <w:p>
      <w:r>
        <w:rPr>
          <w:b/>
        </w:rPr>
        <w:t xml:space="preserve">Narration: </w:t>
      </w:r>
      <w:r>
        <w:t>Hyaluronic acid fillers are passive space occupiers; biostimulators add a scaffold and controlled collagenesis. The newest generation delivers instructive molecular signals that reprogram fibroblast behavior — the essence of chemical intelligence. In the longevity framework we treat skin and hair as regenerating organ systems, not surfaces.</w:t>
      </w:r>
    </w:p>
    <w:p>
      <w:pPr>
        <w:pStyle w:val="Heading1"/>
      </w:pPr>
      <w:r>
        <w:rPr>
          <w:color w:val="3B1F3E"/>
        </w:rPr>
        <w:t>Slide 9: Skin &amp; Hair Longevity: A Unified Framework</w:t>
      </w:r>
    </w:p>
    <w:p>
      <w:r>
        <w:rPr>
          <w:b/>
        </w:rPr>
        <w:t xml:space="preserve">On-screen bullets: </w:t>
      </w:r>
      <w:r>
        <w:t>Skin aging = ECM degradation + senescence + chronic inflammation | Hair miniaturization shares dermal papilla ECM dysfunction | Shared hallmarks: inflammaging, oxidative stress, niche decline | Injectable biologics target shared upstream drivers | Metrics: cutometry, dermal ultrasound, trichoscopy, PROMs</w:t>
      </w:r>
    </w:p>
    <w:p>
      <w:r>
        <w:rPr>
          <w:b/>
        </w:rPr>
        <w:t xml:space="preserve">Narration: </w:t>
      </w:r>
      <w:r>
        <w:t>Cutaneous aging and follicular miniaturization share upstream drivers: matrix degradation, senescent cell burden, oxidative stress, and low-grade inflammation. The dermal papilla matrix is as central to hair cycling as the dermal matrix is to skin quality — explaining why the same three injectable classes appear across both indications.</w:t>
      </w:r>
    </w:p>
    <w:p>
      <w:pPr>
        <w:pStyle w:val="Heading1"/>
      </w:pPr>
      <w:r>
        <w:rPr>
          <w:color w:val="3B1F3E"/>
        </w:rPr>
        <w:t>Slide 10: How to Read the Evidence: Grading in This Review</w:t>
      </w:r>
    </w:p>
    <w:p>
      <w:r>
        <w:rPr>
          <w:b/>
        </w:rPr>
        <w:t xml:space="preserve">On-screen bullets: </w:t>
      </w:r>
      <w:r>
        <w:t>Level A: multiple RCTs / meta-analysis — practice-changing | Level B: single RCT or consistent split-face trials — supportive | Level C: observational / case series — hypothesis-generating | Level D: preclinical / mechanistic only — investigational | Each module closes with an evidence summary table</w:t>
      </w:r>
    </w:p>
    <w:p>
      <w:r>
        <w:rPr>
          <w:b/>
        </w:rPr>
        <w:t xml:space="preserve">Narration: </w:t>
      </w:r>
      <w:r>
        <w:t>Throughout, claims are graded on a four-level scale. Level A should change practice; Level B is supportive but preliminary; Level C generates hypotheses only; Level D is preclinical and must not be marketed as proven. Keep these grades in mind when counseling patients and when industry presents data.</w:t>
      </w:r>
    </w:p>
    <w:p>
      <w:pPr>
        <w:pStyle w:val="Heading1"/>
      </w:pPr>
      <w:r>
        <w:rPr>
          <w:color w:val="3B1F3E"/>
        </w:rPr>
        <w:t>Slide 11: PRETEST — Questions 1–5 (unscored)</w:t>
      </w:r>
    </w:p>
    <w:p>
      <w:r>
        <w:rPr>
          <w:b/>
        </w:rPr>
        <w:t xml:space="preserve">On-screen bullets: </w:t>
      </w:r>
      <w:r>
        <w:t>Q1. Most abundant dermal ECM protein: (a) elastin (b) collagen I (c) laminin (d) fibronectin | Q2. PDRN acts mainly via: (a) A2A adenosine receptor (b) GABA-A (c) β2-adrenergic (d) H1 | Q3. Exosomes are best defined as: (a) apoptotic bodies (b) 30–150 nm EVs (c) liposomes (d) platelet fragments | Q4. GHK-Cu is primarily a: (a) neurotoxin (b) copper carrier peptide (c) enzyme (d) growth factor | Q5. Senescent fibroblasts damage ECM via: (a) SASP with MMPs (b) excess collagen (c) low VEGF (d) hyperplasia</w:t>
      </w:r>
    </w:p>
    <w:p>
      <w:r>
        <w:rPr>
          <w:b/>
        </w:rPr>
        <w:t xml:space="preserve">Narration: </w:t>
      </w:r>
      <w:r>
        <w:t>Answer these first five pretest questions before continuing. They cover matrix composition, the adenosine A2A mechanism of polydeoxyribonucleotide, the definition of exosomes, the copper-carrying role of GHK-Cu, and the senescence-associated secretory phenotype. Record your answers; the posttest will measure your learning gain.</w:t>
      </w:r>
    </w:p>
    <w:p>
      <w:pPr>
        <w:pStyle w:val="Heading1"/>
      </w:pPr>
      <w:r>
        <w:rPr>
          <w:color w:val="3B1F3E"/>
        </w:rPr>
        <w:t>Slide 12: PRETEST — Questions 6–10 (unscored)</w:t>
      </w:r>
    </w:p>
    <w:p>
      <w:r>
        <w:rPr>
          <w:b/>
        </w:rPr>
        <w:t xml:space="preserve">On-screen bullets: </w:t>
      </w:r>
      <w:r>
        <w:t>Q6. 'Chemical intelligence' refers to: (a) synthetic chemistry (b) instructive bioactive signals (c) preservatives (d) filler pH | Q7. Injectable exosomes are currently: (a) FDA approved (b) EMA approved (c) not approved for injection in most regions (d) class I devices | Q8. Polynucleotides are polymers of: (a) amino acids (b) nucleotides (c) sugars (d) lipids | Q9. Palmitoyl pentapeptide mimics a fragment of: (a) elastin (b) collagen I (c) keratin (d) melanin | Q10. Best objective hair-response tool: (a) Wood lamp (b) trichoscopy/phototrichogram (c) MRI (d) biopsy only</w:t>
      </w:r>
    </w:p>
    <w:p>
      <w:r>
        <w:rPr>
          <w:b/>
        </w:rPr>
        <w:t xml:space="preserve">Narration: </w:t>
      </w:r>
      <w:r>
        <w:t>Questions six through ten complete the pretest, probing chemical intelligence, exosome regulatory status, the nucleotide-polymer nature of polynucleotides, collagen-fragment mimicry of palmitoyl pentapeptide, and trichoscopy as the standard objective measure in hair trials. This simply establishes your baseline.</w:t>
      </w:r>
    </w:p>
    <w:p>
      <w:pPr>
        <w:pStyle w:val="Heading1"/>
      </w:pPr>
      <w:r>
        <w:rPr>
          <w:color w:val="3B1F3E"/>
        </w:rPr>
        <w:t>Slide 13: MODULE 1 — The Dermal Extracellular Matrix</w:t>
      </w:r>
    </w:p>
    <w:p>
      <w:r>
        <w:rPr>
          <w:b/>
        </w:rPr>
        <w:t xml:space="preserve">On-screen bullets: </w:t>
      </w:r>
      <w:r>
        <w:t>The ECM is not scaffolding — it is a signaling organ | ~70% of dermal dry weight is collagen (I 80–85%, III 10–15%) | Elastin, fibrillin, GAGs, proteoglycans, glycoproteins complete the matrix | Resident cells: fibroblasts, myofibroblasts, immune cells, stem-cell niches | Every injectable in this review ultimately acts on ECM biology</w:t>
      </w:r>
    </w:p>
    <w:p>
      <w:r>
        <w:rPr>
          <w:b/>
        </w:rPr>
        <w:t xml:space="preserve">Narration: </w:t>
      </w:r>
      <w:r>
        <w:t>Module one reframes the extracellular matrix. Far from inert scaffolding, the dermal matrix is a dynamic signaling organ that stores growth factors, presents mechanical cues, and governs cell fate. Collagens one and three dominate, supported by elastin, glycosaminoglycans, and adhesive glycoproteins. Every therapy in this review acts by modifying this matrix and its resident cells.</w:t>
      </w:r>
    </w:p>
    <w:p>
      <w:pPr>
        <w:pStyle w:val="Heading1"/>
      </w:pPr>
      <w:r>
        <w:rPr>
          <w:color w:val="3B1F3E"/>
        </w:rPr>
        <w:t>Slide 14: ECM Architecture: The Collagen Network</w:t>
      </w:r>
    </w:p>
    <w:p>
      <w:r>
        <w:rPr>
          <w:b/>
        </w:rPr>
        <w:t xml:space="preserve">On-screen bullets: </w:t>
      </w:r>
      <w:r>
        <w:t>Collagen I: tensile strength; thick reticular-dermis bundles | Collagen III: fine reticular fibers; high in young &amp; healing skin | Procollagen → cleaved → cross-linked by lysyl oxidase (copper-dependent) | Collagen I:III ratio declines with age and photoaging | Wrinkle depth tracks collagen bundle disorganization</w:t>
      </w:r>
    </w:p>
    <w:p>
      <w:r>
        <w:rPr>
          <w:b/>
        </w:rPr>
        <w:t xml:space="preserve">Narration: </w:t>
      </w:r>
      <w:r>
        <w:t>Type one collagen provides tensile strength through thick cross-linked bundles; type three forms the finer network abundant in youthful and healing skin. Procollagen is secreted, enzymatically trimmed, and cross-linked by lysyl oxidase — a copper-dependent step relevant when we discuss GHK-Cu. Aging degrades bundle organization, correlating directly with wrinkle depth and laxity.</w:t>
      </w:r>
    </w:p>
    <w:p>
      <w:pPr>
        <w:pStyle w:val="Heading1"/>
      </w:pPr>
      <w:r>
        <w:rPr>
          <w:color w:val="3B1F3E"/>
        </w:rPr>
        <w:t>Slide 15: ECM Architecture: Elastin, GAGs &amp; Proteoglycans</w:t>
      </w:r>
    </w:p>
    <w:p>
      <w:r>
        <w:rPr>
          <w:b/>
        </w:rPr>
        <w:t xml:space="preserve">On-screen bullets: </w:t>
      </w:r>
      <w:r>
        <w:t>Elastic fibers: elastin core + fibrillin microfibrils (~2–4% of dermis) | Solar elastosis: UV-driven dystrophic elastin accumulation | Hyaluronic acid: binds water ~1000× its weight | Decorin, versican, perlecan regulate fibrillogenesis &amp; GF storage | Dermal HA half-life &lt; 24 hours — hydration effects are transient</w:t>
      </w:r>
    </w:p>
    <w:p>
      <w:r>
        <w:rPr>
          <w:b/>
        </w:rPr>
        <w:t xml:space="preserve">Narration: </w:t>
      </w:r>
      <w:r>
        <w:t>Elastic fibers built on an elastin core with fibrillin microfibrils provide recoil; ultraviolet damage produces solar elastosis. Hyaluronic acid manages water but turns over in under a day, explaining why injected HA hydration is transient unless fibroblast synthesis is stimulated. Proteoglycans like decorin fine-tune collagen fibril size and sequester growth factors.</w:t>
      </w:r>
    </w:p>
    <w:p>
      <w:pPr>
        <w:pStyle w:val="Heading1"/>
      </w:pPr>
      <w:r>
        <w:rPr>
          <w:color w:val="3B1F3E"/>
        </w:rPr>
        <w:t>Slide 16: ECM–Cell Crosstalk &amp; Mechanotransduction</w:t>
      </w:r>
    </w:p>
    <w:p>
      <w:r>
        <w:rPr>
          <w:b/>
        </w:rPr>
        <w:t xml:space="preserve">On-screen bullets: </w:t>
      </w:r>
      <w:r>
        <w:t>Integrins sense matrix stiffness → FAK/ERK, YAP/TAZ signaling | Fragmented collagen → reduced fibroblast spreading → ↓ collagen synthesis | Self-amplifying loop of matrix loss | CD44: principal HA receptor; modulates inflammation &amp; migration | ECM is a growth-factor reservoir (latent TGF-β complexes)</w:t>
      </w:r>
    </w:p>
    <w:p>
      <w:r>
        <w:rPr>
          <w:b/>
        </w:rPr>
        <w:t xml:space="preserve">Narration: </w:t>
      </w:r>
      <w:r>
        <w:t>Cells and matrix converse constantly. Fibroblasts grip collagen through integrins; when the matrix fragments, cells lose tension and mechanotransduction through FAK, ERK, and YAP-TAZ downregulates new collagen synthesis — a self-amplifying aging loop. Restoring matrix integrity can therefore restart endogenous collagen production rather than merely masking its loss.</w:t>
      </w:r>
    </w:p>
    <w:p>
      <w:pPr>
        <w:pStyle w:val="Heading1"/>
      </w:pPr>
      <w:r>
        <w:rPr>
          <w:color w:val="3B1F3E"/>
        </w:rPr>
        <w:t>Slide 17: Intrinsic Aging of the ECM</w:t>
      </w:r>
    </w:p>
    <w:p>
      <w:r>
        <w:rPr>
          <w:b/>
        </w:rPr>
        <w:t xml:space="preserve">On-screen bullets: </w:t>
      </w:r>
      <w:r>
        <w:t>~1% per year dermal collagen decline from early adulthood | Fibroblast senescence; flattened dermoepidermal junction | Reduced GAG content, hydration, dermal thickness | AGE accumulation → stiff, yellowed, brittle collagen | Estrogen decline accelerates perimenopausal collagen loss</w:t>
      </w:r>
    </w:p>
    <w:p>
      <w:r>
        <w:rPr>
          <w:b/>
        </w:rPr>
        <w:t xml:space="preserve">Narration: </w:t>
      </w:r>
      <w:r>
        <w:t>Intrinsic aging brings roughly one percent annual collagen loss, senescent fibroblasts, a flattened dermoepidermal junction, and glycation that stiffens and yellows collagen. Estrogen decline in perimenopause sharply accelerates this trajectory — an important counseling point, since regenerative injectables may partially counter hormonally driven matrix loss.</w:t>
      </w:r>
    </w:p>
    <w:p>
      <w:pPr>
        <w:pStyle w:val="Heading1"/>
      </w:pPr>
      <w:r>
        <w:rPr>
          <w:color w:val="3B1F3E"/>
        </w:rPr>
        <w:t>Slide 18: Photoaging: The Dominant Extrinsic Driver</w:t>
      </w:r>
    </w:p>
    <w:p>
      <w:r>
        <w:rPr>
          <w:b/>
        </w:rPr>
        <w:t xml:space="preserve">On-screen bullets: </w:t>
      </w:r>
      <w:r>
        <w:t>UV activates AP-1 → ↑ MMP-1, -3, -9 → collagen degradation | UV suppresses TGF-β signaling → ↓ procollagen synthesis | ROS (mitochondrial, NADPH oxidase) mediate damage | Photoaged skin: fragmented collagen + solar elastosis + inflammation | Matrix fragmentation persists for years — 'collagen deficit memory'</w:t>
      </w:r>
    </w:p>
    <w:p>
      <w:r>
        <w:rPr>
          <w:b/>
        </w:rPr>
        <w:t xml:space="preserve">Narration: </w:t>
      </w:r>
      <w:r>
        <w:t>Photoaging is the dominant extrinsic driver. Ultraviolet radiation activates AP-1, inducing matrix metalloproteinases one, three, and nine to degrade collagen while suppressing TGF-beta-driven procollagen production. Oxidative stress mediates much of this. Critically, matrix fragmentation persists for years — a collagen deficit memory that regenerative injectables aim to erase.</w:t>
      </w:r>
    </w:p>
    <w:p>
      <w:pPr>
        <w:pStyle w:val="Heading1"/>
      </w:pPr>
      <w:r>
        <w:rPr>
          <w:color w:val="3B1F3E"/>
        </w:rPr>
        <w:t>Slide 19: Inflammaging &amp; Cellular Senescence</w:t>
      </w:r>
    </w:p>
    <w:p>
      <w:r>
        <w:rPr>
          <w:b/>
        </w:rPr>
        <w:t xml:space="preserve">On-screen bullets: </w:t>
      </w:r>
      <w:r>
        <w:t>Senescent fibroblasts accumulate with age and UV | SASP: IL-6, IL-8, MMPs, TNF-α degrade neighboring ECM | Senescent cells are metabolically active, not dormant | Inflammaging links skin aging to systemic longevity | Therapeutic angles: senolysis, SASP suppression, niche rejuvenation</w:t>
      </w:r>
    </w:p>
    <w:p>
      <w:r>
        <w:rPr>
          <w:b/>
        </w:rPr>
        <w:t xml:space="preserve">Narration: </w:t>
      </w:r>
      <w:r>
        <w:t>Senescent fibroblasts are not dormant — they secrete the senescence-associated secretory phenotype, a cocktail of interleukins and proteases that digests surrounding matrix and propagates senescence. This low-grade inflammaging connects skin aging to systemic longevity biology. Polynucleotides and certain peptides show SASP-modulating activity in preclinical models — a Level D but compelling rationale.</w:t>
      </w:r>
    </w:p>
    <w:p>
      <w:pPr>
        <w:pStyle w:val="Heading1"/>
      </w:pPr>
      <w:r>
        <w:rPr>
          <w:color w:val="3B1F3E"/>
        </w:rPr>
        <w:t>Slide 20: The ECM as Therapeutic Target: Intervention Map</w:t>
      </w:r>
    </w:p>
    <w:p>
      <w:r>
        <w:rPr>
          <w:b/>
        </w:rPr>
        <w:t xml:space="preserve">On-screen bullets: </w:t>
      </w:r>
      <w:r>
        <w:t>Replace: HA fillers, collagen stimulators | Signal: exosomes, polynucleotides, biomimetic peptides | Protect: antioxidants, MMP inhibition, photoprotection | Remove: senolytic strategies, ablation of damaged matrix | Best outcomes combine ≥2 strategies — matrix-centric planning</w:t>
      </w:r>
    </w:p>
    <w:p>
      <w:r>
        <w:rPr>
          <w:b/>
        </w:rPr>
        <w:t xml:space="preserve">Narration: </w:t>
      </w:r>
      <w:r>
        <w:t>We can intervene on the matrix in four ways: replace lost volume, signal regeneration, protect against ongoing degradation, or remove damaged and senescent elements. The three classes in this review are primarily signalers. The strongest protocols pair signaling agents with protection — photoprotection and antioxidants — and periodic removal of damaged matrix via energy-based devices.</w:t>
      </w:r>
    </w:p>
    <w:p>
      <w:pPr>
        <w:pStyle w:val="Heading1"/>
      </w:pPr>
      <w:r>
        <w:rPr>
          <w:color w:val="3B1F3E"/>
        </w:rPr>
        <w:t>Slide 21: Hair Follicle ECM &amp; the Dermal Papilla</w:t>
      </w:r>
    </w:p>
    <w:p>
      <w:r>
        <w:rPr>
          <w:b/>
        </w:rPr>
        <w:t xml:space="preserve">On-screen bullets: </w:t>
      </w:r>
      <w:r>
        <w:t>Dermal papilla (DP): specialized ECM-rich signaling hub | DP ECM volume correlates with follicle size and hair diameter | Versican, laminin, collagen VI support DP inductivity | AGA: perifollicular fibrosis + DP ECM shrinkage | Anagen prolongation requires a healthy perifollicular matrix</w:t>
      </w:r>
    </w:p>
    <w:p>
      <w:r>
        <w:rPr>
          <w:b/>
        </w:rPr>
        <w:t xml:space="preserve">Narration: </w:t>
      </w:r>
      <w:r>
        <w:t>The dermal papilla is a condensed, matrix-rich signaling organ whose extracellular matrix volume directly predicts follicle caliber. In androgenetic alopecia the papilla matrix shrinks and perifollicular fibrosis encroaches, strangling the follicle. Injectable regeneratives for hair aim to restore papilla matrix function, reduce perifollicular fibrosis, and prolong anagen.</w:t>
      </w:r>
    </w:p>
    <w:p>
      <w:pPr>
        <w:pStyle w:val="Heading1"/>
      </w:pPr>
      <w:r>
        <w:rPr>
          <w:color w:val="3B1F3E"/>
        </w:rPr>
        <w:t>Slide 22: Wound Healing as the Template for Regeneration</w:t>
      </w:r>
    </w:p>
    <w:p>
      <w:r>
        <w:rPr>
          <w:b/>
        </w:rPr>
        <w:t xml:space="preserve">On-screen bullets: </w:t>
      </w:r>
      <w:r>
        <w:t>Hemostasis → inflammation → proliferation → remodeling | Fetal scarless healing: high collagen III, high HA, minimal inflammation | Aging shifts healing toward fibrosis and delayed closure | Regenerative injectables recapitulate fetal-like signaling | TGF-β isoform balance (β1/β2 scar vs β3 scarless) is central</w:t>
      </w:r>
    </w:p>
    <w:p>
      <w:r>
        <w:rPr>
          <w:b/>
        </w:rPr>
        <w:t xml:space="preserve">Narration: </w:t>
      </w:r>
      <w:r>
        <w:t>Adult wound healing trades regeneration for speed, producing scar. Fetal skin heals scarlessly, rich in collagen three, hyaluronic acid, and TGF-beta three rather than scar-promoting beta one and two. A useful mental model for this field: exosomes, polynucleotides, and peptides each nudge adult tissue toward that fetal-like regenerative program with controlled inflammation.</w:t>
      </w:r>
    </w:p>
    <w:p>
      <w:pPr>
        <w:pStyle w:val="Heading1"/>
      </w:pPr>
      <w:r>
        <w:rPr>
          <w:color w:val="3B1F3E"/>
        </w:rPr>
        <w:t>Slide 23: Module 1 — Evidence Summary</w:t>
      </w:r>
    </w:p>
    <w:p>
      <w:r>
        <w:rPr>
          <w:b/>
        </w:rPr>
        <w:t xml:space="preserve">On-screen bullets: </w:t>
      </w:r>
      <w:r>
        <w:t>ECM degradation &amp; fibroblast mechanosensing — Level A | Photoaging MMP/AP-1 pathway — Level A | Dermal papilla ECM role in AGA — Level B | SASP/inflammaging as injectable target — Level C–D | Clinical translation via biologics — evolving (Level B–C)</w:t>
      </w:r>
    </w:p>
    <w:p>
      <w:r>
        <w:rPr>
          <w:b/>
        </w:rPr>
        <w:t xml:space="preserve">Narration: </w:t>
      </w:r>
      <w:r>
        <w:t>To close module one: matrix degradation mechanisms and photoaging pathways are established science. The dermal papilla matrix story in hair loss is well supported. Targeting senescence and inflammaging with injectables is promising but largely preclinical. Hold these distinctions — they determine what you may ethically promise patients.</w:t>
      </w:r>
    </w:p>
    <w:p>
      <w:pPr>
        <w:pStyle w:val="Heading1"/>
      </w:pPr>
      <w:r>
        <w:rPr>
          <w:color w:val="3B1F3E"/>
        </w:rPr>
        <w:t>Slide 24: MODULE 2 — Chemical Intelligence of the ECM</w:t>
      </w:r>
    </w:p>
    <w:p>
      <w:r>
        <w:rPr>
          <w:b/>
        </w:rPr>
        <w:t xml:space="preserve">On-screen bullets: </w:t>
      </w:r>
      <w:r>
        <w:t>Definition: bioactive molecules that instruct cell behavior | ECM communicates via matrikines, matricryptins, growth factors | Fragments of matrix proteins are themselves signals | Injectables can deliver, mimic, or stimulate these signals | Chemical intelligence = information therapy, not volume therapy</w:t>
      </w:r>
    </w:p>
    <w:p>
      <w:r>
        <w:rPr>
          <w:b/>
        </w:rPr>
        <w:t xml:space="preserve">Narration: </w:t>
      </w:r>
      <w:r>
        <w:t>Module two defines our central concept. Chemical intelligence describes bioactive molecules that instruct cellular behavior: matrikines and matricryptins — peptide fragments liberated from matrix proteins — plus sequestered growth factors. Exosomes carry instructions, polynucleotides feed purinergic signaling, and biomimetic peptides imitate the matrix's own fragments. This is information therapy, not volume therapy.</w:t>
      </w:r>
    </w:p>
    <w:p>
      <w:pPr>
        <w:pStyle w:val="Heading1"/>
      </w:pPr>
      <w:r>
        <w:rPr>
          <w:color w:val="3B1F3E"/>
        </w:rPr>
        <w:t>Slide 25: Matrikines: The ECM's Own Peptide Language</w:t>
      </w:r>
    </w:p>
    <w:p>
      <w:r>
        <w:rPr>
          <w:b/>
        </w:rPr>
        <w:t xml:space="preserve">On-screen bullets: </w:t>
      </w:r>
      <w:r>
        <w:t>Proteolysis of collagen, elastin, laminin releases signaling fragments | Examples: GHK (from collagen/SPARC), elastin peptides, KTTKS | Act on fibroblast receptors → regulate synthesis &amp; repair | Dose and context determine repair vs inflammation | Biomimetic peptides are engineered matrikine analogues</w:t>
      </w:r>
    </w:p>
    <w:p>
      <w:r>
        <w:rPr>
          <w:b/>
        </w:rPr>
        <w:t xml:space="preserve">Narration: </w:t>
      </w:r>
      <w:r>
        <w:t>Matrikines are peptide fragments released when matrix proteins are cleaved during remodeling — GHK, elastin-derived peptides, and the KTTKS sequence from collagen one are classic examples. They bind fibroblast receptors and regulate synthesis and repair. The entire biomimetic peptide industry is, in essence, the engineering of synthetic matrikine analogues.</w:t>
      </w:r>
    </w:p>
    <w:p>
      <w:pPr>
        <w:pStyle w:val="Heading1"/>
      </w:pPr>
      <w:r>
        <w:rPr>
          <w:color w:val="3B1F3E"/>
        </w:rPr>
        <w:t>Slide 26: Key Signaling Pathways for the Aesthetic Injector</w:t>
      </w:r>
    </w:p>
    <w:p>
      <w:r>
        <w:rPr>
          <w:b/>
        </w:rPr>
        <w:t xml:space="preserve">On-screen bullets: </w:t>
      </w:r>
      <w:r>
        <w:t>TGF-β/Smad: master collagen switch; balance of isoforms matters | Purinergic: adenosine A2A receptor → anti-inflammatory, pro-repair | Integrin/FAK &amp; YAP/TAZ: mechanical-to-chemical conversion | Wnt/β-catenin: follicle cycling and anagen initiation | NF-κB: inflammatory brake/target of many regeneratives</w:t>
      </w:r>
    </w:p>
    <w:p>
      <w:r>
        <w:rPr>
          <w:b/>
        </w:rPr>
        <w:t xml:space="preserve">Narration: </w:t>
      </w:r>
      <w:r>
        <w:t>Five pathways recur throughout this review. TGF-beta/Smad is the master collagen switch. Purinergic signaling through the adenosine A2A receptor drives polynucleotide effects. Integrin and YAP-TAZ pathways convert mechanical cues to chemical responses. Wnt beta-catenin governs follicle anagen. And NF-kappa-B is the inflammatory hub most regenerative agents seek to quiet.</w:t>
      </w:r>
    </w:p>
    <w:p>
      <w:pPr>
        <w:pStyle w:val="Heading1"/>
      </w:pPr>
      <w:r>
        <w:rPr>
          <w:color w:val="3B1F3E"/>
        </w:rPr>
        <w:t>Slide 27: Hormesis &amp; Dose-Response in Regenerative Injectables</w:t>
      </w:r>
    </w:p>
    <w:p>
      <w:r>
        <w:rPr>
          <w:b/>
        </w:rPr>
        <w:t xml:space="preserve">On-screen bullets: </w:t>
      </w:r>
      <w:r>
        <w:t>Many biologic signals follow biphasic (hormetic) dose-response | Too little: no effect; too much: inflammation or fibrosis | More product ≠ more regeneration | Interval spacing respects cellular response kinetics | Clinical protocols should mirror studied doses, not marketing</w:t>
      </w:r>
    </w:p>
    <w:p>
      <w:r>
        <w:rPr>
          <w:b/>
        </w:rPr>
        <w:t xml:space="preserve">Narration: </w:t>
      </w:r>
      <w:r>
        <w:t>Biological signals often follow biphasic dose-response curves: too little does nothing; too much triggers inflammation or fibrosis. More product does not mean more regeneration. Treatment intervals should respect cellular response kinetics — collagen remodeling takes weeks, not days. Design protocols around studied doses, not marketing schedules.</w:t>
      </w:r>
    </w:p>
    <w:p>
      <w:pPr>
        <w:pStyle w:val="Heading1"/>
      </w:pPr>
      <w:r>
        <w:rPr>
          <w:color w:val="3B1F3E"/>
        </w:rPr>
        <w:t>Slide 28: Delivery, Bioavailability &amp; the Injection Plane</w:t>
      </w:r>
    </w:p>
    <w:p>
      <w:r>
        <w:rPr>
          <w:b/>
        </w:rPr>
        <w:t xml:space="preserve">On-screen bullets: </w:t>
      </w:r>
      <w:r>
        <w:t>Intradermal delivery places signals at fibroblast level | Too deep (subcutaneous): wasted on adipose; too superficial: leakage | Particle size, viscosity, and degradation kinetics shape exposure | Microneedling/RF assist delivery of topicals (exosomes, peptides) | Combination with energy devices: timing and sequencing matter</w:t>
      </w:r>
    </w:p>
    <w:p>
      <w:r>
        <w:rPr>
          <w:b/>
        </w:rPr>
        <w:t xml:space="preserve">Narration: </w:t>
      </w:r>
      <w:r>
        <w:t>Chemical intelligence is useless if delivered to the wrong address. Intradermal placement reaches fibroblasts; subcutaneous deposition wastes signal on adipose; too superficial causes leakage and papules. Particle size, viscosity, and degradation kinetics determine exposure time. When pairing with microneedling or energy devices, sequencing and timing are critical and will be addressed per class.</w:t>
      </w:r>
    </w:p>
    <w:p>
      <w:pPr>
        <w:pStyle w:val="Heading1"/>
      </w:pPr>
      <w:r>
        <w:rPr>
          <w:color w:val="3B1F3E"/>
        </w:rPr>
        <w:t>Slide 29: Synergy &amp; Combination Logic</w:t>
      </w:r>
    </w:p>
    <w:p>
      <w:r>
        <w:rPr>
          <w:b/>
        </w:rPr>
        <w:t xml:space="preserve">On-screen bullets: </w:t>
      </w:r>
      <w:r>
        <w:t>Exosomes: cargo delivery — instruction set | Polynucleotides: substrate + A2A signaling — permissive environment | Peptides: targeted receptor-level instructions | HA: hydration scaffold supporting all three | Rational stacking = complementary, not redundant, mechanisms</w:t>
      </w:r>
    </w:p>
    <w:p>
      <w:r>
        <w:rPr>
          <w:b/>
        </w:rPr>
        <w:t xml:space="preserve">Narration: </w:t>
      </w:r>
      <w:r>
        <w:t>Rational combination means complementary mechanisms: exosomes deliver a broad instruction set, polynucleotides create a permissive anti-inflammatory, pro-repair environment while supplying nucleotide substrate, peptides add targeted receptor-level instructions, and hyaluronic acid provides the hydrated scaffold in which all three operate. Avoid stacking redundant mechanisms at the same session.</w:t>
      </w:r>
    </w:p>
    <w:p>
      <w:pPr>
        <w:pStyle w:val="Heading1"/>
      </w:pPr>
      <w:r>
        <w:rPr>
          <w:color w:val="3B1F3E"/>
        </w:rPr>
        <w:t>Slide 30: Module 2 — Evidence Summary</w:t>
      </w:r>
    </w:p>
    <w:p>
      <w:r>
        <w:rPr>
          <w:b/>
        </w:rPr>
        <w:t xml:space="preserve">On-screen bullets: </w:t>
      </w:r>
      <w:r>
        <w:t>Matrikine biology (GHK, KTTKS, elastin peptides) — Level B–C | Adenosine A2A repair pathway — Level B (human wound data) | Hormetic dosing principle — Level C (extrapolated) | Delivery-plane importance — Level B (injection science) | Combination synergy — largely Level C–D; rational but unproven</w:t>
      </w:r>
    </w:p>
    <w:p>
      <w:r>
        <w:rPr>
          <w:b/>
        </w:rPr>
        <w:t xml:space="preserve">Narration: </w:t>
      </w:r>
      <w:r>
        <w:t>Module two closes with a grading check. Matrikine biology and the adenosine A2A repair pathway have human support. Hormetic dosing and combination synergy are rational extrapolations more than proven facts — be honest with patients about that distinction. We now turn to the first agent class: exosomes.</w:t>
      </w:r>
    </w:p>
    <w:p>
      <w:pPr>
        <w:pStyle w:val="Heading1"/>
      </w:pPr>
      <w:r>
        <w:rPr>
          <w:color w:val="3B1F3E"/>
        </w:rPr>
        <w:t>Slide 31: MODULE 3 — Exosomes: Biology &amp; Biogenesis</w:t>
      </w:r>
    </w:p>
    <w:p>
      <w:r>
        <w:rPr>
          <w:b/>
        </w:rPr>
        <w:t xml:space="preserve">On-screen bullets: </w:t>
      </w:r>
      <w:r>
        <w:t>Extracellular vesicles 30–150 nm of endosomal origin | Formed via multivesicular bodies; released by exocytosis | Distinct from microvesicles and apoptotic bodies | Carry proteins, lipids, mRNA, miRNA from parent cell | Nature's intercellular messaging system</w:t>
      </w:r>
    </w:p>
    <w:p>
      <w:r>
        <w:rPr>
          <w:b/>
        </w:rPr>
        <w:t xml:space="preserve">Narration: </w:t>
      </w:r>
      <w:r>
        <w:t>Exosomes are nanoscale extracellular vesicles of endosomal origin, released when multivesicular bodies fuse with the cell membrane. They differ from larger microvesicles and apoptotic bodies in size, biogenesis, and markers. Their cargo — proteins, lipids, messenger RNA, and microRNA — reflects and transmits the physiological state of the parent cell: nature's own drug-delivery system.</w:t>
      </w:r>
    </w:p>
    <w:p>
      <w:pPr>
        <w:pStyle w:val="Heading1"/>
      </w:pPr>
      <w:r>
        <w:rPr>
          <w:color w:val="3B1F3E"/>
        </w:rPr>
        <w:t>Slide 32: Exosome Cargo: The Instruction Set</w:t>
      </w:r>
    </w:p>
    <w:p>
      <w:r>
        <w:rPr>
          <w:b/>
        </w:rPr>
        <w:t xml:space="preserve">On-screen bullets: </w:t>
      </w:r>
      <w:r>
        <w:t>miRNAs regulating collagen synthesis, inflammation, pigmentation | Growth factors: TGF-β, VEGF, FGF, EGF (source-dependent) | Enzymes: antioxidant (SOD, catalase) in some preparations | Membrane proteins: CD9, CD63, CD81 (tetraspanin markers) | Cargo = fingerprint of parent cell type and culture conditions</w:t>
      </w:r>
    </w:p>
    <w:p>
      <w:r>
        <w:rPr>
          <w:b/>
        </w:rPr>
        <w:t xml:space="preserve">Narration: </w:t>
      </w:r>
      <w:r>
        <w:t>Exosome cargo is the instruction set: microRNAs that regulate collagen synthesis, inflammation, and pigmentation; growth factors; antioxidant enzymes; and the tetraspanin surface markers CD9, CD63, and CD81 used for characterization. Crucially, cargo is a fingerprint of the parent cell and its culture conditions — which is why source and manufacturing standardization dominate the quality debate.</w:t>
      </w:r>
    </w:p>
    <w:p>
      <w:pPr>
        <w:pStyle w:val="Heading1"/>
      </w:pPr>
      <w:r>
        <w:rPr>
          <w:color w:val="3B1F3E"/>
        </w:rPr>
        <w:t>Slide 33: Sources of Aesthetic Exosomes</w:t>
      </w:r>
    </w:p>
    <w:p>
      <w:r>
        <w:rPr>
          <w:b/>
        </w:rPr>
        <w:t xml:space="preserve">On-screen bullets: </w:t>
      </w:r>
      <w:r>
        <w:t>MSC-derived: adipose, bone marrow, umbilical cord — most studied | Platelet/PRP-derived exosomes — autologous appeal | Plant-derived exosome-like vesicles — cosmetic market | Keratinocyte/fibroblast-derived — niche products | Source determines cargo, potency, safety, and regulation</w:t>
      </w:r>
    </w:p>
    <w:p>
      <w:r>
        <w:rPr>
          <w:b/>
        </w:rPr>
        <w:t xml:space="preserve">Narration: </w:t>
      </w:r>
      <w:r>
        <w:t>Mesenchymal stromal cell exosomes from adipose tissue, bone marrow, or umbilical cord are the most studied. Platelet-derived exosomes offer autologous appeal. Plant-derived exosome-like vesicles dominate the cosmetic topical market but lack comparable mechanistic data. Source determines cargo, potency, safety profile, and — critically — regulatory classification.</w:t>
      </w:r>
    </w:p>
    <w:p>
      <w:pPr>
        <w:pStyle w:val="Heading1"/>
      </w:pPr>
      <w:r>
        <w:rPr>
          <w:color w:val="3B1F3E"/>
        </w:rPr>
        <w:t>Slide 34: Mechanisms in Skin Rejuvenation</w:t>
      </w:r>
    </w:p>
    <w:p>
      <w:r>
        <w:rPr>
          <w:b/>
        </w:rPr>
        <w:t xml:space="preserve">On-screen bullets: </w:t>
      </w:r>
      <w:r>
        <w:t>Fibroblast activation → ↑ collagen I/III, elastin (preclinical) | miRNA-mediated MMP suppression and anti-inflammatory effects | Angiogenesis support; antioxidant enzyme delivery | Melanogenesis modulation — pigmentation applications | Most data Level D; human trials small and short (Level C)</w:t>
      </w:r>
    </w:p>
    <w:p>
      <w:r>
        <w:rPr>
          <w:b/>
        </w:rPr>
        <w:t xml:space="preserve">Narration: </w:t>
      </w:r>
      <w:r>
        <w:t>Preclinically, MSC exosomes activate fibroblasts, increase collagens one and three and elastin, suppress metalloproteinases, dampen inflammation, support angiogenesis, and modulate melanogenesis. But be honest about the evidence: most of this is Level D. Human aesthetic trials remain small, short, and largely uncontrolled — Level C at best as of 2026.</w:t>
      </w:r>
    </w:p>
    <w:p>
      <w:pPr>
        <w:pStyle w:val="Heading1"/>
      </w:pPr>
      <w:r>
        <w:rPr>
          <w:color w:val="3B1F3E"/>
        </w:rPr>
        <w:t>Slide 35: Exosomes for Hair: Mechanistic Rationale</w:t>
      </w:r>
    </w:p>
    <w:p>
      <w:r>
        <w:rPr>
          <w:b/>
        </w:rPr>
        <w:t xml:space="preserve">On-screen bullets: </w:t>
      </w:r>
      <w:r>
        <w:t>DP cell proliferation via Wnt/β-catenin activation (preclinical) | Prolongation of anagen; resistance to DHT-induced miniaturization | miR-218-5p, miR-100 among implicated cargo | Perifollicular anti-inflammatory and antifibrotic effects | Animal models show hair regrowth comparable to minoxidil (Level D)</w:t>
      </w:r>
    </w:p>
    <w:p>
      <w:r>
        <w:rPr>
          <w:b/>
        </w:rPr>
        <w:t xml:space="preserve">Narration: </w:t>
      </w:r>
      <w:r>
        <w:t>In hair biology, exosomes derived from dermal papilla cells or MSCs activate Wnt beta-catenin signaling, prolong anagen, and resist DHT-driven miniaturization in animal models, with microRNAs such as miR-218-5p implicated. Mouse studies report regrowth comparable to minoxidil — exciting, but Level D. Human controlled trials are only now emerging.</w:t>
      </w:r>
    </w:p>
    <w:p>
      <w:pPr>
        <w:pStyle w:val="Heading1"/>
      </w:pPr>
      <w:r>
        <w:rPr>
          <w:color w:val="3B1F3E"/>
        </w:rPr>
        <w:t>Slide 36: Clinical Evidence: Skin (2026 Snapshot)</w:t>
      </w:r>
    </w:p>
    <w:p>
      <w:r>
        <w:rPr>
          <w:b/>
        </w:rPr>
        <w:t xml:space="preserve">On-screen bullets: </w:t>
      </w:r>
      <w:r>
        <w:t>Split-face studies: exosomes + microneedling vs microneedling alone | Reported gains: texture, pore size, erythema recovery, elasticity | Small samples (n≈20–60), short follow-up (≤12 weeks) | Adjuvant post-laser/RF use shows faster re-epithelialization | No large independent RCT of injectable exosomes for facial aging</w:t>
      </w:r>
    </w:p>
    <w:p>
      <w:r>
        <w:rPr>
          <w:b/>
        </w:rPr>
        <w:t xml:space="preserve">Narration: </w:t>
      </w:r>
      <w:r>
        <w:t>The human skin evidence consists mainly of split-face studies pairing exosomes with microneedling or laser, reporting improved texture, pore appearance, erythema recovery, and elasticity versus device alone. Sample sizes are small and follow-up short. As of 2026 there is no large, independent, randomized trial of injectable exosomes for facial aging — grade the evidence Level C.</w:t>
      </w:r>
    </w:p>
    <w:p>
      <w:pPr>
        <w:pStyle w:val="Heading1"/>
      </w:pPr>
      <w:r>
        <w:rPr>
          <w:color w:val="3B1F3E"/>
        </w:rPr>
        <w:t>Slide 37: Clinical Evidence: Hair (2026 Snapshot)</w:t>
      </w:r>
    </w:p>
    <w:p>
      <w:r>
        <w:rPr>
          <w:b/>
        </w:rPr>
        <w:t xml:space="preserve">On-screen bullets: </w:t>
      </w:r>
      <w:r>
        <w:t>Small trials of scalp-injected MSC-exosome products for AGA | Reported increases in hair density and thickness at 12–24 weeks | Heterogeneous products, doses, and outcome measures | No head-to-head vs minoxidil/finasteride standard of care | Encouraging signal; confirmatory RCTs needed — Level C</w:t>
      </w:r>
    </w:p>
    <w:p>
      <w:r>
        <w:rPr>
          <w:b/>
        </w:rPr>
        <w:t xml:space="preserve">Narration: </w:t>
      </w:r>
      <w:r>
        <w:t>For hair, small trials of scalp-injected MSC exosome products in androgenetic alopecia report increased density and shaft thickness at twelve to twenty-four weeks. Products, doses, and outcome measures are heterogeneous, and no head-to-head comparison against minoxidil or finasteride exists. The signal is encouraging but remains Level C pending confirmatory randomized trials.</w:t>
      </w:r>
    </w:p>
    <w:p>
      <w:pPr>
        <w:pStyle w:val="Heading1"/>
      </w:pPr>
      <w:r>
        <w:rPr>
          <w:color w:val="3B1F3E"/>
        </w:rPr>
        <w:t>Slide 38: Formulation, Stability &amp; Quality Control</w:t>
      </w:r>
    </w:p>
    <w:p>
      <w:r>
        <w:rPr>
          <w:b/>
        </w:rPr>
        <w:t xml:space="preserve">On-screen bullets: </w:t>
      </w:r>
      <w:r>
        <w:t>Isolation: ultracentrifugation, tangential flow, size exclusion | Characterization: NTA, TEM, Western blot (CD9/CD63/CD81) | Potency assays: the missing link in commercial products | Storage: −80 °C or lyophilized; freeze–thaw degrades cargo | Sterility, endotoxin, mycoplasma testing are non-negotiable</w:t>
      </w:r>
    </w:p>
    <w:p>
      <w:r>
        <w:rPr>
          <w:b/>
        </w:rPr>
        <w:t xml:space="preserve">Narration: </w:t>
      </w:r>
      <w:r>
        <w:t>Quality is the field's Achilles heel. Proper manufacture requires validated isolation methods, characterization by nanoparticle tracking analysis, electron microscopy, and tetraspanin blotting, plus potency assays — the missing link in many commercial products. Cold-chain storage or lyophilization and sterility, endotoxin, and mycoplasma testing are non-negotiable. Ask every supplier for this documentation.</w:t>
      </w:r>
    </w:p>
    <w:p>
      <w:pPr>
        <w:pStyle w:val="Heading1"/>
      </w:pPr>
      <w:r>
        <w:rPr>
          <w:color w:val="3B1F3E"/>
        </w:rPr>
        <w:t>Slide 39: Regulatory Status: The Critical Slide</w:t>
      </w:r>
    </w:p>
    <w:p>
      <w:r>
        <w:rPr>
          <w:b/>
        </w:rPr>
        <w:t xml:space="preserve">On-screen bullets: </w:t>
      </w:r>
      <w:r>
        <w:t>FDA: no exosome product approved for aesthetic use; injection unapproved | FDA warnings (2019–2020+) after adverse events with unapproved products | EMA: exosomes from human cells = ATMP/biological drug pathway | Cosmetic (topical) exosomes ≠ injectable approval | Legal, ethical, insurance implications of off-framework injection</w:t>
      </w:r>
    </w:p>
    <w:p>
      <w:r>
        <w:rPr>
          <w:b/>
        </w:rPr>
        <w:t xml:space="preserve">Narration: </w:t>
      </w:r>
      <w:r>
        <w:t>This is the most important slide in the exosome module. The FDA has approved no exosome product for aesthetic use and has issued public warnings after adverse events with unapproved injections. In Europe, human-cell-derived exosomes fall under advanced therapy medicinal product regulation. Topical cosmetic positioning confers no injectable legitimacy. Injecting outside this framework carries legal, ethical, and indemnity consequences.</w:t>
      </w:r>
    </w:p>
    <w:p>
      <w:pPr>
        <w:pStyle w:val="Heading1"/>
      </w:pPr>
      <w:r>
        <w:rPr>
          <w:color w:val="3B1F3E"/>
        </w:rPr>
        <w:t>Slide 40: Safety Profile &amp; Reported Adverse Events</w:t>
      </w:r>
    </w:p>
    <w:p>
      <w:r>
        <w:rPr>
          <w:b/>
        </w:rPr>
        <w:t xml:space="preserve">On-screen bullets: </w:t>
      </w:r>
      <w:r>
        <w:t>Theoretical risks: immunogenicity, infection, tumor-promoting cargo | Contamination risks in poorly controlled manufacturing | Reported events largely tied to unregulated injectable products | Topical/microneedling-adjuvant use: generally mild, transient reactions | Long-term safety data absent — registry participation encouraged</w:t>
      </w:r>
    </w:p>
    <w:p>
      <w:r>
        <w:rPr>
          <w:b/>
        </w:rPr>
        <w:t xml:space="preserve">Narration: </w:t>
      </w:r>
      <w:r>
        <w:t>Theoretical risks include immunogenicity, transmission of infection, and oncogenic potential of uncharacterized cargo. Reported serious events have been tied to unregulated injectable products. Topical and post-microneedling use shows mostly mild, transient reactions. Long-term safety data simply do not exist — if you use these products, contribute to registries and report events.</w:t>
      </w:r>
    </w:p>
    <w:p>
      <w:pPr>
        <w:pStyle w:val="Heading1"/>
      </w:pPr>
      <w:r>
        <w:rPr>
          <w:color w:val="3B1F3E"/>
        </w:rPr>
        <w:t>Slide 41: Practical Use: Evidence-Conscious Approaches</w:t>
      </w:r>
    </w:p>
    <w:p>
      <w:r>
        <w:rPr>
          <w:b/>
        </w:rPr>
        <w:t xml:space="preserve">On-screen bullets: </w:t>
      </w:r>
      <w:r>
        <w:t>Where legal: topical/post-procedure application has the best safety margin | Adjuvant to microneedling, fractional laser, RF — recovery acceleration | Injection only within trials or jurisdictions permitting it | Informed consent must state investigational status explicitly | Document product source, lot, and QC certificates</w:t>
      </w:r>
    </w:p>
    <w:p>
      <w:r>
        <w:rPr>
          <w:b/>
        </w:rPr>
        <w:t xml:space="preserve">Narration: </w:t>
      </w:r>
      <w:r>
        <w:t>Evidence-conscious practice in 2026: where legal, topical and post-procedure application offers the best safety margin, particularly for accelerating recovery after microneedling, fractional laser, or radiofrequency. Injection should occur only within trials or jurisdictions that permit it. Consent must state the investigational status explicitly, and you should document product source, lot number, and quality certificates.</w:t>
      </w:r>
    </w:p>
    <w:p>
      <w:pPr>
        <w:pStyle w:val="Heading1"/>
      </w:pPr>
      <w:r>
        <w:rPr>
          <w:color w:val="3B1F3E"/>
        </w:rPr>
        <w:t>Slide 42: Protocol Patterns Reported in the Literature</w:t>
      </w:r>
    </w:p>
    <w:p>
      <w:r>
        <w:rPr>
          <w:b/>
        </w:rPr>
        <w:t xml:space="preserve">On-screen bullets: </w:t>
      </w:r>
      <w:r>
        <w:t>Post-microneedling topical application, weekly–monthly series | Post-laser application to shorten downtime | Scalp protocols: monthly sessions × 3–6, then maintenance | No standardized dosing units across products — a major limitation | Combine with medical-grade skincare and photoprotection</w:t>
      </w:r>
    </w:p>
    <w:p>
      <w:r>
        <w:rPr>
          <w:b/>
        </w:rPr>
        <w:t xml:space="preserve">Narration: </w:t>
      </w:r>
      <w:r>
        <w:t>Reported protocols include topical application after microneedling in weekly-to-monthly series, post-laser application to shorten downtime, and scalp injection courses of three to six monthly sessions. A major limitation: there is no standardized dosing unit across products, making cross-study comparison almost meaningless. All protocols should be anchored by medical-grade skincare and photoprotection.</w:t>
      </w:r>
    </w:p>
    <w:p>
      <w:pPr>
        <w:pStyle w:val="Heading1"/>
      </w:pPr>
      <w:r>
        <w:rPr>
          <w:color w:val="3B1F3E"/>
        </w:rPr>
        <w:t>Slide 43: Critical Appraisal: Separating Signal from Hype</w:t>
      </w:r>
    </w:p>
    <w:p>
      <w:r>
        <w:rPr>
          <w:b/>
        </w:rPr>
        <w:t xml:space="preserve">On-screen bullets: </w:t>
      </w:r>
      <w:r>
        <w:t>Mechanistic plausibility is strong; clinical proof is thin | Publication bias and industry sponsorship pervasive | 'Exosome' on the label ≠ characterized exosomes in the vial | Beware extrapolation from wound healing to aesthetic endpoints | Ask: source? characterization? potency? trial registration?</w:t>
      </w:r>
    </w:p>
    <w:p>
      <w:r>
        <w:rPr>
          <w:b/>
        </w:rPr>
        <w:t xml:space="preserve">Narration: </w:t>
      </w:r>
      <w:r>
        <w:t>Apply disciplined skepticism. Mechanistic plausibility is strong but clinical proof is thin; publication bias and industry sponsorship are pervasive. The word exosome on a label does not guarantee characterized vesicles in the vial, and wound-healing data do not automatically translate to aesthetic endpoints. Four questions expose weak products: what source, what characterization, what potency assay, what registered trial?</w:t>
      </w:r>
    </w:p>
    <w:p>
      <w:pPr>
        <w:pStyle w:val="Heading1"/>
      </w:pPr>
      <w:r>
        <w:rPr>
          <w:color w:val="3B1F3E"/>
        </w:rPr>
        <w:t>Slide 44: Future Directions (2026 and Beyond)</w:t>
      </w:r>
    </w:p>
    <w:p>
      <w:r>
        <w:rPr>
          <w:b/>
        </w:rPr>
        <w:t xml:space="preserve">On-screen bullets: </w:t>
      </w:r>
      <w:r>
        <w:t>Engineered exosomes with defined cargo loading | Standardized potency metrics and reference materials | Registered phase II/III trials in skin aging and AGA | Exosome-mimetic synthetic nanovesicles | Regulatory clarification will reshape the market</w:t>
      </w:r>
    </w:p>
    <w:p>
      <w:r>
        <w:rPr>
          <w:b/>
        </w:rPr>
        <w:t xml:space="preserve">Narration: </w:t>
      </w:r>
      <w:r>
        <w:t>The future is promising: engineered exosomes with defined cargo, standardized potency metrics, registered phase two and three trials in skin aging and androgenetic alopecia, and synthetic exosome-mimetic nanovesicles. Regulatory clarification over the next few years will likely reshape this market dramatically — position your practice on the evidence side of that shift.</w:t>
      </w:r>
    </w:p>
    <w:p>
      <w:pPr>
        <w:pStyle w:val="Heading1"/>
      </w:pPr>
      <w:r>
        <w:rPr>
          <w:color w:val="3B1F3E"/>
        </w:rPr>
        <w:t>Slide 45: Module 3 — Evidence Summary</w:t>
      </w:r>
    </w:p>
    <w:p>
      <w:r>
        <w:rPr>
          <w:b/>
        </w:rPr>
        <w:t xml:space="preserve">On-screen bullets: </w:t>
      </w:r>
      <w:r>
        <w:t>Biology, cargo, mechanism — Level D–C, robust preclinical | Skin rejuvenation human data — Level C | Hair (AGA) human data — Level C | Safety of topical/post-procedure use — Level C, reassuring so far | Injectable use — investigational; regulatory red flag</w:t>
      </w:r>
    </w:p>
    <w:p>
      <w:r>
        <w:rPr>
          <w:b/>
        </w:rPr>
        <w:t xml:space="preserve">Narration: </w:t>
      </w:r>
      <w:r>
        <w:t>Exosome module summary: the biology is robust but preclinical; human skin and hair data are Level C; topical and post-procedure safety appears reassuring so far; and injectable use remains investigational with a clear regulatory red flag. Counsel patients with these grades, not with marketing language. We move now to the class with the strongest human data: polynucleotides.</w:t>
      </w:r>
    </w:p>
    <w:p>
      <w:pPr>
        <w:pStyle w:val="Heading1"/>
      </w:pPr>
      <w:r>
        <w:rPr>
          <w:color w:val="3B1F3E"/>
        </w:rPr>
        <w:t>Slide 46: MODULE 4 — Polynucleotides: Chemistry &amp; Definitions</w:t>
      </w:r>
    </w:p>
    <w:p>
      <w:r>
        <w:rPr>
          <w:b/>
        </w:rPr>
        <w:t xml:space="preserve">On-screen bullets: </w:t>
      </w:r>
      <w:r>
        <w:t>Polymers of nucleotides (DNA fragments), typically salmon/trout-derived | Highly purified, depyrogenated DNA chains (PN) | PDRN: polydeoxyribonucleotide — shorter, drug-grade fraction | Distinct from HA: signaling + substrate, not just hydration | Long clinical heritage in wound care (diabetic ulcers)</w:t>
      </w:r>
    </w:p>
    <w:p>
      <w:r>
        <w:rPr>
          <w:b/>
        </w:rPr>
        <w:t xml:space="preserve">Narration: </w:t>
      </w:r>
      <w:r>
        <w:t>Polynucleotides are highly purified, depyrogenated DNA polymers, typically derived from salmon or trout gonads, with polydeoxyribonucleotide — PDRN — representing the shorter, drug-grade fraction. Unlike hyaluronic acid they act by signaling and substrate provision, not mere hydration. They carry a long, legitimate clinical heritage in diabetic wound care — a key evidence anchor.</w:t>
      </w:r>
    </w:p>
    <w:p>
      <w:pPr>
        <w:pStyle w:val="Heading1"/>
      </w:pPr>
      <w:r>
        <w:rPr>
          <w:color w:val="3B1F3E"/>
        </w:rPr>
        <w:t>Slide 47: Mechanism I: The Adenosine A2A Receptor Pathway</w:t>
      </w:r>
    </w:p>
    <w:p>
      <w:r>
        <w:rPr>
          <w:b/>
        </w:rPr>
        <w:t xml:space="preserve">On-screen bullets: </w:t>
      </w:r>
      <w:r>
        <w:t>PN/PDRN degradation releases nucleosides incl. adenosine | A2A receptor activation → anti-inflammatory, pro-angiogenic, pro-fibroblast | ↑ VEGF, ↑ collagen synthesis, ↓ TNF-α/IL-6 | Established in human wound-healing studies (Level B) | Explains both skin quality and hair effects</w:t>
      </w:r>
    </w:p>
    <w:p>
      <w:r>
        <w:rPr>
          <w:b/>
        </w:rPr>
        <w:t xml:space="preserve">Narration: </w:t>
      </w:r>
      <w:r>
        <w:t>The principal mechanism is purinergic. Enzymatic degradation of polynucleotides releases nucleosides including adenosine, which activates the A2A receptor — producing anti-inflammatory, pro-angiogenic, and pro-fibroblast effects with increased VEGF and collagen synthesis and reduced TNF-alpha and interleukin-6. This pathway is validated in human wound-healing studies, giving the class its strongest mechanistic footing.</w:t>
      </w:r>
    </w:p>
    <w:p>
      <w:pPr>
        <w:pStyle w:val="Heading1"/>
      </w:pPr>
      <w:r>
        <w:rPr>
          <w:color w:val="3B1F3E"/>
        </w:rPr>
        <w:t>Slide 48: Mechanism II: Substrate Salvage &amp; ECM Remodeling</w:t>
      </w:r>
    </w:p>
    <w:p>
      <w:r>
        <w:rPr>
          <w:b/>
        </w:rPr>
        <w:t xml:space="preserve">On-screen bullets: </w:t>
      </w:r>
      <w:r>
        <w:t>Nucleotide salvage pathway feeds DNA/RNA synthesis of proliferating cells | Fibroblast number and activity increase in treated dermis | Histology: ↑ dermal thickness, collagen density, elastic fibers | Hydration via water-binding of the polymer itself | Viscoelastic support distinct from cross-linked HA fillers</w:t>
      </w:r>
    </w:p>
    <w:p>
      <w:r>
        <w:rPr>
          <w:b/>
        </w:rPr>
        <w:t xml:space="preserve">Narration: </w:t>
      </w:r>
      <w:r>
        <w:t>Second, polynucleotides feed the nucleotide salvage pathway, supplying proliferating fibroblasts with raw material. Histological studies show increased dermal thickness, collagen density, and elastic fibers after treatment. The polymer itself binds water and provides gentle viscoelastic support — but do not mistake it for a volumizing filler; its value is biological, not mechanical.</w:t>
      </w:r>
    </w:p>
    <w:p>
      <w:pPr>
        <w:pStyle w:val="Heading1"/>
      </w:pPr>
      <w:r>
        <w:rPr>
          <w:color w:val="3B1F3E"/>
        </w:rPr>
        <w:t>Slide 49: Clinical Evidence: Facial Skin Quality</w:t>
      </w:r>
    </w:p>
    <w:p>
      <w:r>
        <w:rPr>
          <w:b/>
        </w:rPr>
        <w:t xml:space="preserve">On-screen bullets: </w:t>
      </w:r>
      <w:r>
        <w:t>Multiple split-face RCTs: PN vs placebo/comparator | Outcomes: elasticity ↑, roughness ↓, hydration ↑, fine lines ↓ | Dermal density gains on ultrasound at 4–12 weeks | GAIS and patient satisfaction consistently favor PN | Evidence grade: Level B — the strongest of our three classes</w:t>
      </w:r>
    </w:p>
    <w:p>
      <w:r>
        <w:rPr>
          <w:b/>
        </w:rPr>
        <w:t xml:space="preserve">Narration: </w:t>
      </w:r>
      <w:r>
        <w:t>Facial skin quality is the best-evidenced indication. Multiple split-face randomized trials show improved elasticity, roughness, hydration, and fine lines, with ultrasound-confirmed dermal density gains at four to twelve weeks and consistently favorable Global Aesthetic Improvement Scale scores. We grade this Level B — the strongest human evidence among the three classes in this review.</w:t>
      </w:r>
    </w:p>
    <w:p>
      <w:pPr>
        <w:pStyle w:val="Heading1"/>
      </w:pPr>
      <w:r>
        <w:rPr>
          <w:color w:val="3B1F3E"/>
        </w:rPr>
        <w:t>Slide 50: Clinical Evidence: Periocular, Neck &amp; Special Zones</w:t>
      </w:r>
    </w:p>
    <w:p>
      <w:r>
        <w:rPr>
          <w:b/>
        </w:rPr>
        <w:t xml:space="preserve">On-screen bullets: </w:t>
      </w:r>
      <w:r>
        <w:t>Periocular: improved elasticity, fine wrinkles, dark-circle appearance | Neck and décolletage: texture and laxity improvements reported | Hands: dermal thickening and quality gains | Thin, crepey, atrophic skin responds particularly well | Evidence Level B–C; zone-specific trials small but consistent</w:t>
      </w:r>
    </w:p>
    <w:p>
      <w:r>
        <w:rPr>
          <w:b/>
        </w:rPr>
        <w:t xml:space="preserve">Narration: </w:t>
      </w:r>
      <w:r>
        <w:t>Zone-specific data cover the periocular region — elasticity, fine wrinkles, and dark-circle appearance — plus neck, décolletage, and hands. Thin, crepey, atrophic skin responds particularly well, making polynucleotides a logical choice where volumizing fillers are risky or unnatural. Zone trials are small but directionally consistent: Level B to C.</w:t>
      </w:r>
    </w:p>
    <w:p>
      <w:pPr>
        <w:pStyle w:val="Heading1"/>
      </w:pPr>
      <w:r>
        <w:rPr>
          <w:color w:val="3B1F3E"/>
        </w:rPr>
        <w:t>Slide 51: Clinical Evidence: Hair &amp; Scalp</w:t>
      </w:r>
    </w:p>
    <w:p>
      <w:r>
        <w:rPr>
          <w:b/>
        </w:rPr>
        <w:t xml:space="preserve">On-screen bullets: </w:t>
      </w:r>
      <w:r>
        <w:t>Pilot studies: PN/PDRN scalp injection in AGA and telogen effluvium | Reported ↑ density and anagen:telogen ratio on trichoscopy | Rationale: A2A angiogenesis + antifibrotic perifollicular effect | Often combined with PRP or minoxidil in practice | Level C — promising, needs controlled trials</w:t>
      </w:r>
    </w:p>
    <w:p>
      <w:r>
        <w:rPr>
          <w:b/>
        </w:rPr>
        <w:t xml:space="preserve">Narration: </w:t>
      </w:r>
      <w:r>
        <w:t>Pilot studies of scalp-injected polynucleotides in androgenetic alopecia and telogen effluvium report increased density and improved anagen-to-telogen ratios on trichoscopy. The rationale combines A2A-mediated angiogenesis with antifibrotic perifollicular effects. In practice it is often combined with PRP or minoxidil. Evidence is Level C — promising, awaiting controlled trials.</w:t>
      </w:r>
    </w:p>
    <w:p>
      <w:pPr>
        <w:pStyle w:val="Heading1"/>
      </w:pPr>
      <w:r>
        <w:rPr>
          <w:color w:val="3B1F3E"/>
        </w:rPr>
        <w:t>Slide 52: Products, Concentrations &amp; Dosing Patterns</w:t>
      </w:r>
    </w:p>
    <w:p>
      <w:r>
        <w:rPr>
          <w:b/>
        </w:rPr>
        <w:t xml:space="preserve">On-screen bullets: </w:t>
      </w:r>
      <w:r>
        <w:t>Products differ in PN concentration (e.g., 7.5–20 mg/2 mL) and MW | Typical face: 2 mL per session, intradermal micro-depots or linear threading | Common schedule: 3–4 sessions at 2–4 week intervals | Maintenance: every 3–6 months | Match product indications to licensure in your jurisdiction</w:t>
      </w:r>
    </w:p>
    <w:p>
      <w:r>
        <w:rPr>
          <w:b/>
        </w:rPr>
        <w:t xml:space="preserve">Narration: </w:t>
      </w:r>
      <w:r>
        <w:t>Commercial products differ in polynucleotide concentration and molecular weight. A typical facial session delivers about two milliliters by intradermal micro-depot or linear threading technique, in courses of three to four sessions spaced two to four weeks apart, with maintenance every three to six months. Always match the product's approved indication to your jurisdiction's licensure.</w:t>
      </w:r>
    </w:p>
    <w:p>
      <w:pPr>
        <w:pStyle w:val="Heading1"/>
      </w:pPr>
      <w:r>
        <w:rPr>
          <w:color w:val="3B1F3E"/>
        </w:rPr>
        <w:t>Slide 53: Injection Technique &amp; Treatment Mapping</w:t>
      </w:r>
    </w:p>
    <w:p>
      <w:r>
        <w:rPr>
          <w:b/>
        </w:rPr>
        <w:t xml:space="preserve">On-screen bullets: </w:t>
      </w:r>
      <w:r>
        <w:t>Intradermal plane is the target — papule technique acceptable | Micro-depot grid (~0.02–0.05 mL per point) or nappage | Periocular: use purpose-licensed low-viscosity PN products | Scalp: intradermal microinjections across affected zones | Expect transient papules 24–72 h — counsel patients</w:t>
      </w:r>
    </w:p>
    <w:p>
      <w:r>
        <w:rPr>
          <w:b/>
        </w:rPr>
        <w:t xml:space="preserve">Narration: </w:t>
      </w:r>
      <w:r>
        <w:t>Technique: the intradermal plane is the target; a visible papule is acceptable and expected. Use micro-depot grids of 0.02 to 0.05 milliliters per point or nappage threading. For the periocular zone choose purpose-licensed low-viscosity products. Scalp work uses intradermal microinjections across affected zones. Counsel patients that papules typically resolve in one to three days.</w:t>
      </w:r>
    </w:p>
    <w:p>
      <w:pPr>
        <w:pStyle w:val="Heading1"/>
      </w:pPr>
      <w:r>
        <w:rPr>
          <w:color w:val="3B1F3E"/>
        </w:rPr>
        <w:t>Slide 54: Combination Strategies with Polynucleotides</w:t>
      </w:r>
    </w:p>
    <w:p>
      <w:r>
        <w:rPr>
          <w:b/>
        </w:rPr>
        <w:t xml:space="preserve">On-screen bullets: </w:t>
      </w:r>
      <w:r>
        <w:t>PN + non-cross-linked HA: hydration + bioregeneration | PN + CaHA (hyperdilute): scaffold + signaling | PN post-energy device: healing acceleration | PN + PRP for scalp: complementary growth signaling | Sequence: device first, injectable after re-epithelialization or per protocol</w:t>
      </w:r>
    </w:p>
    <w:p>
      <w:r>
        <w:rPr>
          <w:b/>
        </w:rPr>
        <w:t xml:space="preserve">Narration: </w:t>
      </w:r>
      <w:r>
        <w:t>Rational combinations: polynucleotides with non-cross-linked hyaluronic acid pair hydration with bioregeneration; with hyperdilute calcium hydroxylapatite they add signaling to a scaffold; after energy devices they accelerate healing; and with PRP on the scalp they provide complementary growth signaling. Sequence devices first, injectables after, per protocol.</w:t>
      </w:r>
    </w:p>
    <w:p>
      <w:pPr>
        <w:pStyle w:val="Heading1"/>
      </w:pPr>
      <w:r>
        <w:rPr>
          <w:color w:val="3B1F3E"/>
        </w:rPr>
        <w:t>Slide 55: Safety Profile &amp; Contraindications</w:t>
      </w:r>
    </w:p>
    <w:p>
      <w:r>
        <w:rPr>
          <w:b/>
        </w:rPr>
        <w:t xml:space="preserve">On-screen bullets: </w:t>
      </w:r>
      <w:r>
        <w:t>Excellent safety record over a decade+ of use | Common: transient papules, erythema, pinpoint bruising | Hypersensitivity to fish-derived products — theoretical; screen allergy | Avoid: active infection, pregnancy/lactation (precaution), keloid diathesis caution | No granuloma or delayed nodule signal in the literature to date</w:t>
      </w:r>
    </w:p>
    <w:p>
      <w:r>
        <w:rPr>
          <w:b/>
        </w:rPr>
        <w:t xml:space="preserve">Narration: </w:t>
      </w:r>
      <w:r>
        <w:t>Polynucleotides carry an excellent safety record across more than a decade of use. Expected effects are transient papules, erythema, and pinpoint bruising. Screen for fish-protein hypersensitivity as a theoretical precaution, avoid use in active infection and pregnancy, and note that no granuloma or delayed-nodule signal has emerged in the literature to date.</w:t>
      </w:r>
    </w:p>
    <w:p>
      <w:pPr>
        <w:pStyle w:val="Heading1"/>
      </w:pPr>
      <w:r>
        <w:rPr>
          <w:color w:val="3B1F3E"/>
        </w:rPr>
        <w:t>Slide 56: Patient Selection &amp; Counseling</w:t>
      </w:r>
    </w:p>
    <w:p>
      <w:r>
        <w:rPr>
          <w:b/>
        </w:rPr>
        <w:t xml:space="preserve">On-screen bullets: </w:t>
      </w:r>
      <w:r>
        <w:t>Ideal: 30–60 yrs, skin quality concerns, crepey texture, early laxity | Periocular rejuvenation where fillers are risky | AGA adjunct in patients declining or failing standard therapy | Set expectations: gradual improvement over weeks, series required | Not a volumizer — pair with fillers if volume is the complaint</w:t>
      </w:r>
    </w:p>
    <w:p>
      <w:r>
        <w:rPr>
          <w:b/>
        </w:rPr>
        <w:t xml:space="preserve">Narration: </w:t>
      </w:r>
      <w:r>
        <w:t>Ideal candidates are roughly thirty to sixty years old with skin-quality concerns — crepey texture, early laxity — or periocular aging where fillers are risky, and hair-loss patients seeking adjuncts to standard therapy. Counsel that improvement is gradual over weeks and requires a series. This is not a volumizer; pair with fillers when volume is the actual complaint.</w:t>
      </w:r>
    </w:p>
    <w:p>
      <w:pPr>
        <w:pStyle w:val="Heading1"/>
      </w:pPr>
      <w:r>
        <w:rPr>
          <w:color w:val="3B1F3E"/>
        </w:rPr>
        <w:t>Slide 57: Evidence Gaps &amp; Research Agenda</w:t>
      </w:r>
    </w:p>
    <w:p>
      <w:r>
        <w:rPr>
          <w:b/>
        </w:rPr>
        <w:t xml:space="preserve">On-screen bullets: </w:t>
      </w:r>
      <w:r>
        <w:t>Lack of large, independent, multicenter RCTs | No standardized outcome set across trials | Head-to-head vs PRP, vs biostimulators — unknown | Optimal dosing intervals and maintenance — empirical | Long-term (multi-year) outcomes unstudied</w:t>
      </w:r>
    </w:p>
    <w:p>
      <w:r>
        <w:rPr>
          <w:b/>
        </w:rPr>
        <w:t xml:space="preserve">Narration: </w:t>
      </w:r>
      <w:r>
        <w:t>Be transparent about gaps: large independent multicenter trials are lacking, outcome sets are unstandardized, head-to-head comparisons with PRP and biostimulators are unknown, optimal dosing intervals remain empirical, and multi-year outcomes are unstudied. These gaps define the research agenda — and the limits of what we should promise.</w:t>
      </w:r>
    </w:p>
    <w:p>
      <w:pPr>
        <w:pStyle w:val="Heading1"/>
      </w:pPr>
      <w:r>
        <w:rPr>
          <w:color w:val="3B1F3E"/>
        </w:rPr>
        <w:t>Slide 58: Module 4 — Evidence Summary</w:t>
      </w:r>
    </w:p>
    <w:p>
      <w:r>
        <w:rPr>
          <w:b/>
        </w:rPr>
        <w:t xml:space="preserve">On-screen bullets: </w:t>
      </w:r>
      <w:r>
        <w:t>A2A mechanism &amp; wound-healing base — Level B | Facial skin quality (split-face RCTs) — Level B | Periocular/neck/hands — Level B–C | Hair/scalp — Level C | Safety — Level B, favorable | Strongest-evidence class in this review</w:t>
      </w:r>
    </w:p>
    <w:p>
      <w:r>
        <w:rPr>
          <w:b/>
        </w:rPr>
        <w:t xml:space="preserve">Narration: </w:t>
      </w:r>
      <w:r>
        <w:t>Polynucleotide module summary: the A2A mechanism and wound-healing base are Level B, facial skin quality is supported by split-face randomized trials at Level B, special zones B to C, hair Level C, and safety favorable at Level B. This is the strongest-evidence class in this review — and the benchmark against which exosomes and peptides should be measured.</w:t>
      </w:r>
    </w:p>
    <w:p>
      <w:pPr>
        <w:pStyle w:val="Heading1"/>
      </w:pPr>
      <w:r>
        <w:rPr>
          <w:color w:val="3B1F3E"/>
        </w:rPr>
        <w:t>Slide 59: MODULE 5 — Biomimetic Peptides: Classes &amp; Principles</w:t>
      </w:r>
    </w:p>
    <w:p>
      <w:r>
        <w:rPr>
          <w:b/>
        </w:rPr>
        <w:t xml:space="preserve">On-screen bullets: </w:t>
      </w:r>
      <w:r>
        <w:t>Short amino-acid sequences mimicking endogenous signals | Signal peptides: stimulate ECM synthesis (e.g., pal-KTTKS) | Carrier peptides: deliver trace elements (e.g., GHK-Cu) | Neurotransmitter-inhibiting peptides: topical 'botox-like' (argireline) | Enzyme-inhibitor &amp; melanogenesis-modulating peptides</w:t>
      </w:r>
    </w:p>
    <w:p>
      <w:r>
        <w:rPr>
          <w:b/>
        </w:rPr>
        <w:t xml:space="preserve">Narration: </w:t>
      </w:r>
      <w:r>
        <w:t>Module five covers biomimetic peptides — short amino-acid sequences engineered to mimic endogenous signals. Four functional classes matter clinically: signal peptides that stimulate matrix synthesis, carrier peptides such as GHK-Cu that deliver trace elements, neurotransmitter-inhibiting peptides with botox-like topical effects, and enzyme or melanogenesis modulators.</w:t>
      </w:r>
    </w:p>
    <w:p>
      <w:pPr>
        <w:pStyle w:val="Heading1"/>
      </w:pPr>
      <w:r>
        <w:rPr>
          <w:color w:val="3B1F3E"/>
        </w:rPr>
        <w:t>Slide 60: GHK-Cu: The Archetypal Regenerative Peptide</w:t>
      </w:r>
    </w:p>
    <w:p>
      <w:r>
        <w:rPr>
          <w:b/>
        </w:rPr>
        <w:t xml:space="preserve">On-screen bullets: </w:t>
      </w:r>
      <w:r>
        <w:t>Naturally occurring tripeptide (gly-his-lys) + Cu²⁺ | Levels fall ~60% between ages 20 and 60 | ↑ collagen, elastin, GAGs; ↑ lysyl oxidase &amp; SOD | Anti-inflammatory; resets gene expression toward repair | Topical/microneedle data Level C; injectable use emerging, Level D</w:t>
      </w:r>
    </w:p>
    <w:p>
      <w:r>
        <w:rPr>
          <w:b/>
        </w:rPr>
        <w:t xml:space="preserve">Narration: </w:t>
      </w:r>
      <w:r>
        <w:t>GHK-Cu is the archetype: a naturally occurring copper-binding tripeptide whose plasma levels fall about sixty percent between ages twenty and sixty. It stimulates collagen, elastin, and glycosaminoglycan synthesis, upregulates lysyl oxidase and superoxide dismutase, and broadly resets gene expression toward repair. Topical and microneedling-adjuvant data are Level C; injectable use is emerging but remains Level D.</w:t>
      </w:r>
    </w:p>
    <w:p>
      <w:pPr>
        <w:pStyle w:val="Heading1"/>
      </w:pPr>
      <w:r>
        <w:rPr>
          <w:color w:val="3B1F3E"/>
        </w:rPr>
        <w:t>Slide 61: Signal Peptides: Matrikine Analogues</w:t>
      </w:r>
    </w:p>
    <w:p>
      <w:r>
        <w:rPr>
          <w:b/>
        </w:rPr>
        <w:t xml:space="preserve">On-screen bullets: </w:t>
      </w:r>
      <w:r>
        <w:t>Palmitoyl pentapeptide-4 (pal-KTTKS): collagen I fragment mimic | Palmitoyl tripeptide-1/7: laminin &amp; collagen signaling | Tripeptide-10 citrulline: fibrillogenesis organizer | RCT evidence for topical anti-wrinkle effect exists (Level B, topical) | Lipidation (palmitoyl) improves skin penetration</w:t>
      </w:r>
    </w:p>
    <w:p>
      <w:r>
        <w:rPr>
          <w:b/>
        </w:rPr>
        <w:t xml:space="preserve">Narration: </w:t>
      </w:r>
      <w:r>
        <w:t>Signal peptides are matrikine analogues. Palmitoyl pentapeptide-4 mimics the KTTKS collagen one fragment; palmitoyl tripeptides signal through laminin and collagen pathways; tripeptide-10 citrulline organizes fibrillogenesis. Notably, randomized trials support topical anti-wrinkle effects — Level B for topical use — and palmitoyl lipid tails are added precisely to improve skin penetration.</w:t>
      </w:r>
    </w:p>
    <w:p>
      <w:pPr>
        <w:pStyle w:val="Heading1"/>
      </w:pPr>
      <w:r>
        <w:rPr>
          <w:color w:val="3B1F3E"/>
        </w:rPr>
        <w:t>Slide 62: Peptides for Hair</w:t>
      </w:r>
    </w:p>
    <w:p>
      <w:r>
        <w:rPr>
          <w:b/>
        </w:rPr>
        <w:t xml:space="preserve">On-screen bullets: </w:t>
      </w:r>
      <w:r>
        <w:t>Copper peptides: DP cell support, anagen prolongation (preclinical) | Biotinoyl tripeptide-1: follicle anchoring claims | Acetyl tetrapeptide-3: ECM anchoring proteins ↑ (in vitro/company data) | Often paired with minoxidil in leave-on formulations | Injectable hair peptide cocktails: anecdotal — Level D</w:t>
      </w:r>
    </w:p>
    <w:p>
      <w:r>
        <w:rPr>
          <w:b/>
        </w:rPr>
        <w:t xml:space="preserve">Narration: </w:t>
      </w:r>
      <w:r>
        <w:t>For hair, copper peptides support dermal papilla cells and prolong anagen in preclinical work; biotinoyl tripeptide-1 and acetyl tetrapeptide-3 claim follicle-anchoring effects largely from in-vitro and company data. They are most defensibly used in leave-on formulations alongside minoxidil. Injectable peptide cocktails for hair remain anecdotal — Level D.</w:t>
      </w:r>
    </w:p>
    <w:p>
      <w:pPr>
        <w:pStyle w:val="Heading1"/>
      </w:pPr>
      <w:r>
        <w:rPr>
          <w:color w:val="3B1F3E"/>
        </w:rPr>
        <w:t>Slide 63: Injectable Peptide Formulations: Status in 2026</w:t>
      </w:r>
    </w:p>
    <w:p>
      <w:r>
        <w:rPr>
          <w:b/>
        </w:rPr>
        <w:t xml:space="preserve">On-screen bullets: </w:t>
      </w:r>
      <w:r>
        <w:t>Most peptide evidence is topical; injectables are the frontier | Skin-booster formulations combining peptides + HA proliferating | Mesotherapy-style peptide cocktails: variable evidence, Level C–D | Stability: protease degradation limits longevity — formulation matters | Regulatory classification varies widely by jurisdiction</w:t>
      </w:r>
    </w:p>
    <w:p>
      <w:r>
        <w:rPr>
          <w:b/>
        </w:rPr>
        <w:t xml:space="preserve">Narration: </w:t>
      </w:r>
      <w:r>
        <w:t>Most peptide evidence remains topical; injectables are the frontier. Skin-booster formulations combining peptides with hyaluronic acid are proliferating, and mesotherapy-style cocktails show variable Level C-to-D evidence. Protease degradation limits peptide longevity, so formulation science — lipidation, encapsulation, sustained release — determines real-world performance. Regulatory classification varies widely; verify locally.</w:t>
      </w:r>
    </w:p>
    <w:p>
      <w:pPr>
        <w:pStyle w:val="Heading1"/>
      </w:pPr>
      <w:r>
        <w:rPr>
          <w:color w:val="3B1F3E"/>
        </w:rPr>
        <w:t>Slide 64: Clinical Evidence: What Holds Up?</w:t>
      </w:r>
    </w:p>
    <w:p>
      <w:r>
        <w:rPr>
          <w:b/>
        </w:rPr>
        <w:t xml:space="preserve">On-screen bullets: </w:t>
      </w:r>
      <w:r>
        <w:t>Topical signal peptides: RCT-supported wrinkle improvement (Level B) | GHK-Cu: consistent preclinical + small human studies (Level C) | Injectable peptide skin boosters: early split-face data (Level C) | Hair peptides: mostly company/in-vitro (Level D) | Differentiate INCI-list marketing from clinical trial data</w:t>
      </w:r>
    </w:p>
    <w:p>
      <w:r>
        <w:rPr>
          <w:b/>
        </w:rPr>
        <w:t xml:space="preserve">Narration: </w:t>
      </w:r>
      <w:r>
        <w:t>What holds up? Topical signal peptides have randomized-trial support for wrinkle improvement. GHK-Cu shows consistent preclinical data with small human studies. Injectable peptide skin boosters have early split-face data. Hair peptides rest mostly on company and in-vitro work. Train yourself — and your patients — to differentiate ingredient-list marketing from actual clinical trial data.</w:t>
      </w:r>
    </w:p>
    <w:p>
      <w:pPr>
        <w:pStyle w:val="Heading1"/>
      </w:pPr>
      <w:r>
        <w:rPr>
          <w:color w:val="3B1F3E"/>
        </w:rPr>
        <w:t>Slide 65: Safety &amp; Formulation Considerations</w:t>
      </w:r>
    </w:p>
    <w:p>
      <w:r>
        <w:rPr>
          <w:b/>
        </w:rPr>
        <w:t xml:space="preserve">On-screen bullets: </w:t>
      </w:r>
      <w:r>
        <w:t>Generally excellent topical safety; sensitization uncommon | Injectable safety depends on vehicle, sterility, concentration | Copper peptides: avoid excess — pro-oxidant at high local doses | Peptide purity and synthesis quality vary between suppliers | Patch-test new topical regimens; document injectable lots</w:t>
      </w:r>
    </w:p>
    <w:p>
      <w:r>
        <w:rPr>
          <w:b/>
        </w:rPr>
        <w:t xml:space="preserve">Narration: </w:t>
      </w:r>
      <w:r>
        <w:t>Topical peptide safety is excellent with uncommon sensitization. Injectable safety depends on vehicle, sterility, and concentration. Copper peptides can become pro-oxidant at excessive local doses — more is not better. Synthesis purity varies between suppliers, so source carefully, patch-test new topical regimens, and document injectable lot numbers.</w:t>
      </w:r>
    </w:p>
    <w:p>
      <w:pPr>
        <w:pStyle w:val="Heading1"/>
      </w:pPr>
      <w:r>
        <w:rPr>
          <w:color w:val="3B1F3E"/>
        </w:rPr>
        <w:t>Slide 66: Practical Protocol Patterns</w:t>
      </w:r>
    </w:p>
    <w:p>
      <w:r>
        <w:rPr>
          <w:b/>
        </w:rPr>
        <w:t xml:space="preserve">On-screen bullets: </w:t>
      </w:r>
      <w:r>
        <w:t>Topical peptides: daily leave-on, 8–12 weeks to visible change | Post-procedure application: microneedling/laser recovery support | Injectable skin boosters: 2–3 sessions, monthly, then quarterly | Hair: leave-on peptide serums as adjuncts to minoxidil/PRP | Combine with retinoids &amp; photoprotection for synergy</w:t>
      </w:r>
    </w:p>
    <w:p>
      <w:r>
        <w:rPr>
          <w:b/>
        </w:rPr>
        <w:t xml:space="preserve">Narration: </w:t>
      </w:r>
      <w:r>
        <w:t>Practical patterns: topical peptides need daily leave-on use for eight to twelve weeks before visible change; post-procedure application supports recovery; injectable skin boosters typically run two to three monthly sessions then quarterly maintenance; hair peptides serve as adjuncts to minoxidil or PRP. All pair well with retinoids and rigorous photoprotection.</w:t>
      </w:r>
    </w:p>
    <w:p>
      <w:pPr>
        <w:pStyle w:val="Heading1"/>
      </w:pPr>
      <w:r>
        <w:rPr>
          <w:color w:val="3B1F3E"/>
        </w:rPr>
        <w:t>Slide 67: Critical Appraisal: Peptides</w:t>
      </w:r>
    </w:p>
    <w:p>
      <w:r>
        <w:rPr>
          <w:b/>
        </w:rPr>
        <w:t xml:space="preserve">On-screen bullets: </w:t>
      </w:r>
      <w:r>
        <w:t>Strong chemistry, decent topical trials, weak injectable trials | Concentration in product often far below studied levels | 'Contains peptides' is not a clinical claim | Penetration is the limiting step — vehicle is everything | Ask for the study on the final formulation, not the raw molecule</w:t>
      </w:r>
    </w:p>
    <w:p>
      <w:r>
        <w:rPr>
          <w:b/>
        </w:rPr>
        <w:t xml:space="preserve">Narration: </w:t>
      </w:r>
      <w:r>
        <w:t>Critical appraisal: the chemistry is strong, topical trials decent, injectable trials weak. Commercial concentrations often sit far below studied levels, and 'contains peptides' is not a clinical claim. Penetration is the limiting step, making vehicle formulation decisive. Always ask for the study on the final marketed formulation, not on the raw molecule.</w:t>
      </w:r>
    </w:p>
    <w:p>
      <w:pPr>
        <w:pStyle w:val="Heading1"/>
      </w:pPr>
      <w:r>
        <w:rPr>
          <w:color w:val="3B1F3E"/>
        </w:rPr>
        <w:t>Slide 68: Module 5 — Evidence Summary</w:t>
      </w:r>
    </w:p>
    <w:p>
      <w:r>
        <w:rPr>
          <w:b/>
        </w:rPr>
        <w:t xml:space="preserve">On-screen bullets: </w:t>
      </w:r>
      <w:r>
        <w:t>Signal peptides, topical anti-wrinkle — Level B | GHK-Cu regenerative biology — Level C (human small) | Injectable peptide boosters — Level C | Hair peptides — Level D | Peptides = promising adjuncts, not standalone regeneratives (yet)</w:t>
      </w:r>
    </w:p>
    <w:p>
      <w:r>
        <w:rPr>
          <w:b/>
        </w:rPr>
        <w:t xml:space="preserve">Narration: </w:t>
      </w:r>
      <w:r>
        <w:t>Peptide module summary: topical signal peptides earn Level B for wrinkles; GHK-Cu biology is Level C in humans; injectable boosters Level C; hair peptides Level D. Position peptides as promising adjuncts within a matrix-centric program rather than standalone regeneratives — at least until injectable trial data mature.</w:t>
      </w:r>
    </w:p>
    <w:p>
      <w:pPr>
        <w:pStyle w:val="Heading1"/>
      </w:pPr>
      <w:r>
        <w:rPr>
          <w:color w:val="3B1F3E"/>
        </w:rPr>
        <w:t>Slide 69: MODULE 6 — Integration: Building Longevity Protocols</w:t>
      </w:r>
    </w:p>
    <w:p>
      <w:r>
        <w:rPr>
          <w:b/>
        </w:rPr>
        <w:t xml:space="preserve">On-screen bullets: </w:t>
      </w:r>
      <w:r>
        <w:t>Diagnose the deficit: volume vs quality vs inflammation vs follicle | Match agent to deficit and evidence grade | Skin quality: PN first-line; peptides adjunct; exosomes adjuvant (topical) | Hair: standard care first; PN/PRP adjuncts; exosomes investigational | Sequence, document, measure — cutometry, ultrasound, trichoscopy</w:t>
      </w:r>
    </w:p>
    <w:p>
      <w:r>
        <w:rPr>
          <w:b/>
        </w:rPr>
        <w:t xml:space="preserve">Narration: </w:t>
      </w:r>
      <w:r>
        <w:t>Integration means diagnosing the actual deficit — volume, quality, inflammation, or follicle — and matching agent to deficit and evidence grade. For skin quality, polynucleotides are first-line, peptides adjunctive, exosomes a topical adjuvant. For hair, standard care comes first with polynucleotide or PRP adjuncts; exosomes remain investigational. Sequence rationally, document everything, measure objectively.</w:t>
      </w:r>
    </w:p>
    <w:p>
      <w:pPr>
        <w:pStyle w:val="Heading1"/>
      </w:pPr>
      <w:r>
        <w:rPr>
          <w:color w:val="3B1F3E"/>
        </w:rPr>
        <w:t>Slide 70: Combination Case Pathways</w:t>
      </w:r>
    </w:p>
    <w:p>
      <w:r>
        <w:rPr>
          <w:b/>
        </w:rPr>
        <w:t xml:space="preserve">On-screen bullets: </w:t>
      </w:r>
      <w:r>
        <w:t>Photoaged 45F, crepey periorbital skin: PN course → peptide booster maintenance | Post-laser patient: topical exosome adjuvant + strict SPF | Early AGA 35M: finasteride/minoxidil + PN or PRP scalp series | Perimenopausal skin thinning: PN + HA skin booster + hormonal review | Always: photoprotection, retinoid, antioxidant backbone</w:t>
      </w:r>
    </w:p>
    <w:p>
      <w:r>
        <w:rPr>
          <w:b/>
        </w:rPr>
        <w:t xml:space="preserve">Narration: </w:t>
      </w:r>
      <w:r>
        <w:t>Example pathways: the forty-five-year-old with crepey periorbital skin gets a polynucleotide course then peptide-booster maintenance. The post-laser patient receives topical exosome adjuvant with strict sun protection. Early male-pattern loss is treated with finasteride and minoxidil plus a polynucleotide or PRP series. Perimenopausal thinning calls for polynucleotides, HA boosters, and hormonal review — all on a backbone of photoprotection, retinoids, and antioxidants.</w:t>
      </w:r>
    </w:p>
    <w:p>
      <w:pPr>
        <w:pStyle w:val="Heading1"/>
      </w:pPr>
      <w:r>
        <w:rPr>
          <w:color w:val="3B1F3E"/>
        </w:rPr>
        <w:t>Slide 71: Safety Governance Across All Three Classes</w:t>
      </w:r>
    </w:p>
    <w:p>
      <w:r>
        <w:rPr>
          <w:b/>
        </w:rPr>
        <w:t xml:space="preserve">On-screen bullets: </w:t>
      </w:r>
      <w:r>
        <w:t>Source verification &amp; QC documentation for every biologic | Aseptic technique; know vascular anatomy &amp; aspiration debate | Consent: distinguish evidence grades; flag investigational status | Adverse-event log and registry participation | Emergency kit: hyaluronidase, anaphylaxis protocol, referral pathway</w:t>
      </w:r>
    </w:p>
    <w:p>
      <w:r>
        <w:rPr>
          <w:b/>
        </w:rPr>
        <w:t xml:space="preserve">Narration: </w:t>
      </w:r>
      <w:r>
        <w:t>Safety governance applies across all three classes: verify sources and quality documentation, maintain aseptic technique and vascular anatomical competence, write consent that distinguishes evidence grades and flags investigational status, keep an adverse-event log, and maintain an emergency kit including hyaluronidase, an anaphylaxis protocol, and a clear referral pathway.</w:t>
      </w:r>
    </w:p>
    <w:p>
      <w:pPr>
        <w:pStyle w:val="Heading1"/>
      </w:pPr>
      <w:r>
        <w:rPr>
          <w:color w:val="3B1F3E"/>
        </w:rPr>
        <w:t>Slide 72: Key Takeaways: 2026 State of the Science</w:t>
      </w:r>
    </w:p>
    <w:p>
      <w:r>
        <w:rPr>
          <w:b/>
        </w:rPr>
        <w:t xml:space="preserve">On-screen bullets: </w:t>
      </w:r>
      <w:r>
        <w:t>ECM is the target; chemical intelligence is the mechanism | Polynucleotides: strongest human evidence (Level B) | Biomimetic peptides: topical proven; injectables emerging | Exosomes: mechanistically exciting, clinically unproven, injectables unapproved | Measure outcomes; counsel with evidence grades, not hype</w:t>
      </w:r>
    </w:p>
    <w:p>
      <w:r>
        <w:rPr>
          <w:b/>
        </w:rPr>
        <w:t xml:space="preserve">Narration: </w:t>
      </w:r>
      <w:r>
        <w:t>Takeaways: the extracellular matrix is the target and chemical intelligence is the mechanism. Polynucleotides carry the strongest human evidence. Biomimetic peptides are proven topically and emerging as injectables. Exosomes are mechanistically exciting, clinically unproven, and unapproved for injection. Measure outcomes objectively and counsel with evidence grades — never with hype.</w:t>
      </w:r>
    </w:p>
    <w:p>
      <w:pPr>
        <w:pStyle w:val="Heading1"/>
      </w:pPr>
      <w:r>
        <w:rPr>
          <w:color w:val="3B1F3E"/>
        </w:rPr>
        <w:t>Slide 73: POSTTEST — Questions 1–5 (pass mark ≥70%)</w:t>
      </w:r>
    </w:p>
    <w:p>
      <w:r>
        <w:rPr>
          <w:b/>
        </w:rPr>
        <w:t xml:space="preserve">On-screen bullets: </w:t>
      </w:r>
      <w:r>
        <w:t>Q1. UV-induced collagen breakdown is driven mainly by: (a) AP-1→MMPs (b) melanin (c) filaggrin (d) sebum | Q2. The A2A receptor activation by PDRN causes: (a) fibrosis (b) anti-inflammation &amp; angiogenesis (c) pigmentation (d) apoptosis | Q3. Which class has the strongest human RCT evidence? (a) exosomes (b) polynucleotides (c) injectable peptides (d) plant vesicles | Q4. Exosome characterization markers include: (a) CD9/63/81 (b) HLA-DR only (c) keratin (d) melanopsin | Q5. Typical PN facial course: (a) single session (b) 3–4 sessions q2–4 wks (c) daily (d) yearly only</w:t>
      </w:r>
    </w:p>
    <w:p>
      <w:r>
        <w:rPr>
          <w:b/>
        </w:rPr>
        <w:t xml:space="preserve">Narration: </w:t>
      </w:r>
      <w:r>
        <w:t>The posttest mirrors the pretest concepts at a deeper level. Questions one through five cover the AP-1 metalloproteinase pathway, A2A receptor pharmacology, comparative evidence grades, tetraspanin characterization markers, and standard polynucleotide course structure. A score of seven of ten or higher is required for CPD certification.</w:t>
      </w:r>
    </w:p>
    <w:p>
      <w:pPr>
        <w:pStyle w:val="Heading1"/>
      </w:pPr>
      <w:r>
        <w:rPr>
          <w:color w:val="3B1F3E"/>
        </w:rPr>
        <w:t>Slide 74: POSTTEST — Questions 6–10</w:t>
      </w:r>
    </w:p>
    <w:p>
      <w:r>
        <w:rPr>
          <w:b/>
        </w:rPr>
        <w:t xml:space="preserve">On-screen bullets: </w:t>
      </w:r>
      <w:r>
        <w:t>Q6. Dermal papilla ECM volume correlates with: (a) sebum (b) hair caliber (c) pigmentation (d) sweating | Q7. Matrikines are: (a) synthetic toxins (b) ECM-derived signaling fragments (c) lipids (d) antibodies | Q8. GHK-Cu declines with age by roughly: (a) 0% (b) 10% (c) 60% (d) 100% | Q9. Injectable exosomes in most jurisdictions are: (a) approved (b) investigational/unapproved (c) devices (d) cosmetics | Q10. Best skin-quality first-line injectable (evidence-graded): (a) exosomes (b) PN (c) peptide cocktails (d) silicone</w:t>
      </w:r>
    </w:p>
    <w:p>
      <w:r>
        <w:rPr>
          <w:b/>
        </w:rPr>
        <w:t xml:space="preserve">Narration: </w:t>
      </w:r>
      <w:r>
        <w:t>Questions six through ten address dermal papilla matrix and hair caliber, the definition of matrikines, the age-related decline of GHK-Cu, the regulatory status of injectable exosomes, and evidence-graded first-line choice for skin quality. Submit your answers to the 3D Rejuvenation Academy for scoring and certification.</w:t>
      </w:r>
    </w:p>
    <w:p>
      <w:pPr>
        <w:pStyle w:val="Heading1"/>
      </w:pPr>
      <w:r>
        <w:rPr>
          <w:color w:val="3B1F3E"/>
        </w:rPr>
        <w:t>Slide 75: Answer Key (Pretest &amp; Posttest)</w:t>
      </w:r>
    </w:p>
    <w:p>
      <w:r>
        <w:rPr>
          <w:b/>
        </w:rPr>
        <w:t xml:space="preserve">On-screen bullets: </w:t>
      </w:r>
      <w:r>
        <w:t>Pretest: 1b 2a 3b 4b 5a | 6b 7c 8b 9b 10b | Posttest: 1a 2b 3b 4a 5b | 6b 7b 8c 9b 10b | Review rationale in the corresponding modules | Retake permitted after re-review of weak areas | Certificates: cpd@3drejuvenationcode.com</w:t>
      </w:r>
    </w:p>
    <w:p>
      <w:r>
        <w:rPr>
          <w:b/>
        </w:rPr>
        <w:t xml:space="preserve">Narration: </w:t>
      </w:r>
      <w:r>
        <w:t>Here are the answer keys for self-marking: pretest one-b, two-a, three-b, four-b, five-a, six-b, seven-c, eight-b, nine-b, ten-b; posttest one-a, two-b, three-b, four-a, five-b, six-b, seven-b, eight-c, nine-b, ten-b. Rationales appear in the corresponding modules; retakes are permitted after review of weak areas.</w:t>
      </w:r>
    </w:p>
    <w:p>
      <w:pPr>
        <w:pStyle w:val="Heading1"/>
      </w:pPr>
      <w:r>
        <w:rPr>
          <w:color w:val="3B1F3E"/>
        </w:rPr>
        <w:t>Slide 76: Selected References (2015–2026)</w:t>
      </w:r>
    </w:p>
    <w:p>
      <w:r>
        <w:rPr>
          <w:b/>
        </w:rPr>
        <w:t xml:space="preserve">On-screen bullets: </w:t>
      </w:r>
      <w:r>
        <w:t>Fisher GJ et al. Collagen fragmentation &amp; fibroblast mechanosensing. Arch Dermatol/Am J Pathol | Squadrito F et al. PDRN &amp; adenosine A2A in wound healing. Wound Repair Regen | Khan A et al. Polynucleotides in skin rejuvenation: split-face RCTs. J Cosmet Dermatol | Gentile P, Garcovich S. EVs/exosomes in skin &amp; hair: systematic reviews. J Clin Med | Pickart L, Margolina A. GHK-Cu regenerative biology. Int J Mol Sci</w:t>
      </w:r>
    </w:p>
    <w:p>
      <w:r>
        <w:rPr>
          <w:b/>
        </w:rPr>
        <w:t xml:space="preserve">Narration: </w:t>
      </w:r>
      <w:r>
        <w:t>Key references include Fisher and colleagues on collagen fragmentation and mechanosensing; Squadrito on PDRN and the A2A receptor in wound healing; split-face polynucleotide trials in the Journal of Cosmetic Dermatology; Gentile and Garcovich's systematic reviews on extracellular vesicles in skin and hair; and Pickart and Margolina on GHK-Cu biology. A fuller bibliography accompanies the pocket guide.</w:t>
      </w:r>
    </w:p>
    <w:p>
      <w:pPr>
        <w:pStyle w:val="Heading1"/>
      </w:pPr>
      <w:r>
        <w:rPr>
          <w:color w:val="3B1F3E"/>
        </w:rPr>
        <w:t>Slide 77: Closing &amp; Contact</w:t>
      </w:r>
    </w:p>
    <w:p>
      <w:r>
        <w:rPr>
          <w:b/>
        </w:rPr>
        <w:t xml:space="preserve">On-screen bullets: </w:t>
      </w:r>
      <w:r>
        <w:t>Thank you for completing this CME activity | Dr. Amr Ismail, MD — Founder, 3D Rejuvenation Academy | www.3drejuvenationcode.com | © 2026 All rights reserved — Approved CPD Provider | Treat the matrix. Respect the evidence.</w:t>
      </w:r>
    </w:p>
    <w:p>
      <w:r>
        <w:rPr>
          <w:b/>
        </w:rPr>
        <w:t xml:space="preserve">Narration: </w:t>
      </w:r>
      <w:r>
        <w:t>Thank you for completing this CME activity. This is Dr. Amr Ismail on behalf of the 3D Rejuvenation Academy, an approved CPD provider. Visit us at 3drejuvenationcode.com for certification, updates, and future modules. Our closing principle: treat the matrix, and respect the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