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c6b47bab0bfc306e6211845ee88fe4b9bba601"/>
    <w:p>
      <w:pPr>
        <w:pStyle w:val="Heading1"/>
      </w:pPr>
      <w:r>
        <w:t xml:space="preserve">Atman: a multiscale, stability-aware framework for small-cohort quantitative proteomics</w:t>
      </w:r>
    </w:p>
    <w:bookmarkStart w:id="9" w:name="abstract"/>
    <w:p>
      <w:pPr>
        <w:pStyle w:val="Heading2"/>
      </w:pPr>
      <w:r>
        <w:t xml:space="preserve">Abstract</w:t>
      </w:r>
    </w:p>
    <w:p>
      <w:pPr>
        <w:pStyle w:val="FirstParagraph"/>
      </w:pPr>
      <w:r>
        <w:rPr>
          <w:b/>
          <w:bCs/>
        </w:rPr>
        <w:t xml:space="preserve">Motivation.</w:t>
      </w:r>
      <w:r>
        <w:t xml:space="preserve"> </w:t>
      </w:r>
      <w:r>
        <w:t xml:space="preserve">Small-cohort human quantitative proteomics (Olink NPX, SomaLogic RFU, or MS intensity matrices) is limited by two untested assumptions of standard workflows: that proteins are independent hypotheses (inflating the BH correction and discarding covariance structure) and that ranking by</w:t>
      </w:r>
      <w:r>
        <w:t xml:space="preserve"> </w:t>
      </w:r>
      <m:oMath>
        <m:r>
          <m:t>q</m:t>
        </m:r>
      </m:oMath>
      <w:r>
        <w:t xml:space="preserve"> </w:t>
      </w:r>
      <w:r>
        <w:t xml:space="preserve">alone suffices (ignoring the directional stability of each hit under resampling). Platform-native tools (</w:t>
      </w:r>
      <w:r>
        <w:rPr>
          <w:rStyle w:val="VerbatimChar"/>
        </w:rPr>
        <w:t xml:space="preserve">OlinkAnalyze</w:t>
      </w:r>
      <w:r>
        <w:t xml:space="preserve">,</w:t>
      </w:r>
      <w:r>
        <w:t xml:space="preserve"> </w:t>
      </w:r>
      <w:r>
        <w:rPr>
          <w:rStyle w:val="VerbatimChar"/>
        </w:rPr>
        <w:t xml:space="preserve">limma</w:t>
      </w:r>
      <w:r>
        <w:t xml:space="preserve"> </w:t>
      </w:r>
      <w:r>
        <w:t xml:space="preserve">on NPX; SomaDataIO ecosystem; MSstats) solve pooled pairwise DE but do not address either assumption.</w:t>
      </w:r>
    </w:p>
    <w:p>
      <w:pPr>
        <w:pStyle w:val="BodyText"/>
      </w:pPr>
      <w:r>
        <w:rPr>
          <w:b/>
          <w:bCs/>
        </w:rPr>
        <w:t xml:space="preserve">Results.</w:t>
      </w:r>
      <w:r>
        <w:t xml:space="preserve"> </w:t>
      </w:r>
      <w:r>
        <w:t xml:space="preserve">Atman is a Rust pipeline combining three methodological layers: (i) multiscale inference via data-driven module-level DE on modules learned by complete-linkage clustering of per-subject delta correlations; (ii) a stability-aware ranking score</w:t>
      </w:r>
      <w:r>
        <w:t xml:space="preserve"> </w:t>
      </w:r>
      <m:oMath>
        <m:sSub>
          <m:e>
            <m:r>
              <m:t>S</m:t>
            </m:r>
          </m:e>
          <m:sub>
            <m:r>
              <m:t>i</m:t>
            </m:r>
          </m:sub>
        </m:sSub>
        <m:r>
          <m:rPr>
            <m:sty m:val="p"/>
          </m:rPr>
          <m:t>=</m:t>
        </m:r>
        <m:r>
          <m:rPr>
            <m:sty m:val="p"/>
          </m:rPr>
          <m:t>|</m:t>
        </m:r>
        <m:sSub>
          <m:e>
            <m:acc>
              <m:accPr>
                <m:chr m:val="‾"/>
              </m:accPr>
              <m:e>
                <m:r>
                  <m:t>d</m:t>
                </m:r>
              </m:e>
            </m:acc>
          </m:e>
          <m:sub>
            <m:r>
              <m:t>i</m:t>
            </m:r>
          </m:sub>
        </m:sSub>
        <m:r>
          <m:rPr>
            <m:sty m:val="p"/>
          </m:rPr>
          <m:t>|</m:t>
        </m:r>
        <m:r>
          <m:rPr>
            <m:sty m:val="p"/>
          </m:rPr>
          <m:t>⋅</m:t>
        </m:r>
        <m:sSub>
          <m:e>
            <m:r>
              <m:rPr>
                <m:sty m:val="p"/>
              </m:rPr>
              <m:t>S</m:t>
            </m:r>
            <m:r>
              <m:rPr>
                <m:sty m:val="p"/>
              </m:rPr>
              <m:t>S</m:t>
            </m:r>
            <m:r>
              <m:rPr>
                <m:sty m:val="p"/>
              </m:rPr>
              <m:t>R</m:t>
            </m:r>
          </m:e>
          <m:sub>
            <m:r>
              <m:t>i</m:t>
            </m:r>
          </m:sub>
        </m:sSub>
        <m:r>
          <m:rPr>
            <m:sty m:val="p"/>
          </m:rPr>
          <m:t>⋅</m:t>
        </m:r>
        <m:r>
          <m:rPr>
            <m:sty m:val="p"/>
          </m:rPr>
          <m:t>(</m:t>
        </m:r>
        <m:r>
          <m:t>1</m:t>
        </m:r>
        <m:r>
          <m:rPr>
            <m:sty m:val="p"/>
          </m:rPr>
          <m:t>−</m:t>
        </m:r>
        <m:sSub>
          <m:e>
            <m:r>
              <m:t>q</m:t>
            </m:r>
          </m:e>
          <m:sub>
            <m:r>
              <m:t>i</m:t>
            </m:r>
          </m:sub>
        </m:sSub>
        <m:r>
          <m:rPr>
            <m:sty m:val="p"/>
          </m:rPr>
          <m:t>)</m:t>
        </m:r>
      </m:oMath>
      <w:r>
        <w:t xml:space="preserve"> </w:t>
      </w:r>
      <w:r>
        <w:t xml:space="preserve">interpretable as expected effect magnitude conditional on directional and significance reliability; (iii) deterministic execution with byte-exact reproduction and three inferential modes (paired-t, moderated, Welch-t). On the Dube heat-acclimation dataset, Atman reproduces the published filtered NPX files cell-exactly and matches</w:t>
      </w:r>
      <w:r>
        <w:t xml:space="preserve"> </w:t>
      </w:r>
      <w:r>
        <w:rPr>
          <w:rStyle w:val="VerbatimChar"/>
        </w:rPr>
        <w:t xml:space="preserve">OlinkAnalyze</w:t>
      </w:r>
      <w:r>
        <w:t xml:space="preserve"> </w:t>
      </w:r>
      <w:r>
        <w:t xml:space="preserve">5.0.0 +</w:t>
      </w:r>
      <w:r>
        <w:t xml:space="preserve"> </w:t>
      </w:r>
      <w:r>
        <w:rPr>
          <w:rStyle w:val="VerbatimChar"/>
        </w:rPr>
        <w:t xml:space="preserve">limma</w:t>
      </w:r>
      <w:r>
        <w:t xml:space="preserve"> </w:t>
      </w:r>
      <w:r>
        <w:t xml:space="preserve">3.66 containment at q&lt;0.10 across four paired contrasts (94–100%). Applied through ~100-line adapters to three independent cohorts on three platform configurations — Gisby et al. 2021 COVID dialysis (Olink Target 96, n=23, paired), Wei et al. 2025 Alzheimer plasma (Olink Target 96, n=10/group, unpaired), and Gisby et al. 2022 COVID dialysis (SomaLogic SomaScan v4.1, 6,360 proteins, n=28, paired) — module-DE recovers a 14-gene interferon/chemokine regulon on Olink Gisby at q = 3.5×10⁻⁴ and a complement/innate-immune regulon on SomaScan entirely unsupervised, and the</w:t>
      </w:r>
      <w:r>
        <w:t xml:space="preserve"> </w:t>
      </w:r>
      <m:oMath>
        <m:r>
          <m:t>S</m:t>
        </m:r>
      </m:oMath>
      <w:r>
        <w:t xml:space="preserve">-score reduces top-K ranking variance under LOO resampling in 3 of 4 tested contrasts. Core inflammation biology (CXCL10, TNFSF13B, GRN) emerges with q&lt;0.01 on both Olink and SomaLogic platforms on the same patient cohort.</w:t>
      </w:r>
    </w:p>
    <w:p>
      <w:pPr>
        <w:pStyle w:val="BodyText"/>
      </w:pPr>
      <w:r>
        <w:rPr>
          <w:b/>
          <w:bCs/>
        </w:rPr>
        <w:t xml:space="preserve">Availability and Implementation.</w:t>
      </w:r>
      <w:r>
        <w:t xml:space="preserve"> </w:t>
      </w:r>
      <w:r>
        <w:t xml:space="preserve">Atman v1.0.0: https://github.com/kevinjoseph/atman (MIT OR Apache-2.0); Zenodo DOI pending. Builds on Rust ≥ 1.75; Dockerfile shipped.</w:t>
      </w:r>
    </w:p>
    <w:p>
      <w:pPr>
        <w:pStyle w:val="BodyText"/>
      </w:pPr>
      <w:r>
        <w:rPr>
          <w:b/>
          <w:bCs/>
        </w:rPr>
        <w:t xml:space="preserve">Contact.</w:t>
      </w:r>
      <w:r>
        <w:t xml:space="preserve"> </w:t>
      </w:r>
      <w:r>
        <w:t xml:space="preserve">kevin.joseph08@gmail.com.</w:t>
      </w:r>
    </w:p>
    <w:bookmarkEnd w:id="9"/>
    <w:bookmarkStart w:id="10" w:name="introduction"/>
    <w:p>
      <w:pPr>
        <w:pStyle w:val="Heading2"/>
      </w:pPr>
      <w:r>
        <w:t xml:space="preserve">Introduction</w:t>
      </w:r>
    </w:p>
    <w:p>
      <w:pPr>
        <w:pStyle w:val="FirstParagraph"/>
      </w:pPr>
      <w:r>
        <w:t xml:space="preserve">Small-cohort human proteomics — whether the perturbation is a physiological challenge (heat acclimation [1,5,6]), an acute infection, or a neurodegenerative disease state — is broadly marked by substantial inter-individual variability in response magnitude and trajectory, which pooled significance lists compress into a group-average narrative. This risk is amplified in high-dimensional assays where technical and batch structure can distort weak biological effects if not controlled [12].</w:t>
      </w:r>
    </w:p>
    <w:p>
      <w:pPr>
        <w:pStyle w:val="BodyText"/>
      </w:pPr>
      <w:r>
        <w:t xml:space="preserve">Pooled differential abundance on quantitative proteomics matrices is well served in each platform’s ecosystem. For Olink:</w:t>
      </w:r>
      <w:r>
        <w:t xml:space="preserve"> </w:t>
      </w:r>
      <w:r>
        <w:rPr>
          <w:rStyle w:val="VerbatimChar"/>
        </w:rPr>
        <w:t xml:space="preserve">OlinkAnalyze</w:t>
      </w:r>
      <w:r>
        <w:t xml:space="preserve"> </w:t>
      </w:r>
      <w:r>
        <w:t xml:space="preserve">(CRAN 5.0.0) [16] provides paired t-tests, linear mixed models via</w:t>
      </w:r>
      <w:r>
        <w:t xml:space="preserve"> </w:t>
      </w:r>
      <w:r>
        <w:rPr>
          <w:rStyle w:val="VerbatimChar"/>
        </w:rPr>
        <w:t xml:space="preserve">olink_lmer</w:t>
      </w:r>
      <w:r>
        <w:t xml:space="preserve">, and over-representation analysis via</w:t>
      </w:r>
      <w:r>
        <w:t xml:space="preserve"> </w:t>
      </w:r>
      <w:r>
        <w:rPr>
          <w:rStyle w:val="VerbatimChar"/>
        </w:rPr>
        <w:t xml:space="preserve">clusterProfiler</w:t>
      </w:r>
      <w:r>
        <w:t xml:space="preserve">. For SomaLogic: the</w:t>
      </w:r>
      <w:r>
        <w:t xml:space="preserve"> </w:t>
      </w:r>
      <w:r>
        <w:rPr>
          <w:rStyle w:val="VerbatimChar"/>
        </w:rPr>
        <w:t xml:space="preserve">SomaDataIO</w:t>
      </w:r>
      <w:r>
        <w:t xml:space="preserve"> </w:t>
      </w:r>
      <w:r>
        <w:t xml:space="preserve">R package reads ADAT and supports standard downstream statistics. For mass spectrometry:</w:t>
      </w:r>
      <w:r>
        <w:t xml:space="preserve"> </w:t>
      </w:r>
      <w:r>
        <w:rPr>
          <w:rStyle w:val="VerbatimChar"/>
        </w:rPr>
        <w:t xml:space="preserve">limma</w:t>
      </w:r>
      <w:r>
        <w:t xml:space="preserve"> </w:t>
      </w:r>
      <w:r>
        <w:t xml:space="preserve">[15] (generic moderated-t) and</w:t>
      </w:r>
      <w:r>
        <w:t xml:space="preserve"> </w:t>
      </w:r>
      <w:r>
        <w:rPr>
          <w:rStyle w:val="VerbatimChar"/>
        </w:rPr>
        <w:t xml:space="preserve">MSstats</w:t>
      </w:r>
      <w:r>
        <w:t xml:space="preserve"> </w:t>
      </w:r>
      <w:r>
        <w:t xml:space="preserve">dominate. None of these provides end-to-end reproducibility from raw data to deposited outputs in a single deterministic engine, none addresses the independence assumption with data-driven module aggregation, and none collapses directional stability into the ranking itself. The gap generalises across platforms because the small-cohort failure modes do — a q-threshold reshuffle under single-subject removal is a property of sample size, not assay chemistry.</w:t>
      </w:r>
    </w:p>
    <w:p>
      <w:pPr>
        <w:pStyle w:val="BodyText"/>
      </w:pPr>
      <w:r>
        <w:t xml:space="preserve">Heterogeneity-aware analysis is not itself novel — the concepts are long-established in biostatistics and transcriptomics. What is novel here is the integrated deterministic implementation: reproducible raw-NPX ingest plus differential abundance plus subject-level heterogeneity and robustness, packaged behind a single Rust binary with a TSV-in / TSV-out contract. The Dube heat-stress/acclimation dataset [2] provides repeated within-subject plasma proteomics across pre/post-acclimation and normothermic/hyperthermic states and is therefore well suited as a demonstration dataset: the source publication established it as a reusable resource and reported limited high-confidence physiology-proteomics coupling at this sample size [2], making it appropriate for exercising small-cohort-aware outputs.</w:t>
      </w:r>
    </w:p>
    <w:p>
      <w:pPr>
        <w:pStyle w:val="BodyText"/>
      </w:pPr>
      <w:r>
        <w:t xml:space="preserve">Here we introduce Atman and organise its contribution in three layers. First,</w:t>
      </w:r>
      <w:r>
        <w:t xml:space="preserve"> </w:t>
      </w:r>
      <w:r>
        <w:rPr>
          <w:b/>
          <w:bCs/>
        </w:rPr>
        <w:t xml:space="preserve">multiscale inference</w:t>
      </w:r>
      <w:r>
        <w:t xml:space="preserve">: a data-driven module-level DE (</w:t>
      </w:r>
      <w:r>
        <w:rPr>
          <w:rStyle w:val="VerbatimChar"/>
        </w:rPr>
        <w:t xml:space="preserve">atman module-de</w:t>
      </w:r>
      <w:r>
        <w:t xml:space="preserve">) that tests aggregated scores over modules learned unsupervised from per-subject delta correlation structure, trading the per-protein independence assumption for structured aggregation with orders-of-magnitude fewer tests. Second,</w:t>
      </w:r>
      <w:r>
        <w:t xml:space="preserve"> </w:t>
      </w:r>
      <w:r>
        <w:rPr>
          <w:b/>
          <w:bCs/>
        </w:rPr>
        <w:t xml:space="preserve">stability-aware prioritisation</w:t>
      </w:r>
      <w:r>
        <w:t xml:space="preserve">: a combined score</w:t>
      </w:r>
      <w:r>
        <w:t xml:space="preserve"> </w:t>
      </w:r>
      <m:oMath>
        <m:sSub>
          <m:e>
            <m:r>
              <m:t>S</m:t>
            </m:r>
          </m:e>
          <m:sub>
            <m:r>
              <m:t>i</m:t>
            </m:r>
          </m:sub>
        </m:sSub>
        <m:r>
          <m:rPr>
            <m:sty m:val="p"/>
          </m:rPr>
          <m:t>=</m:t>
        </m:r>
        <m:r>
          <m:rPr>
            <m:sty m:val="p"/>
          </m:rPr>
          <m:t>|</m:t>
        </m:r>
        <m:sSub>
          <m:e>
            <m:acc>
              <m:accPr>
                <m:chr m:val="‾"/>
              </m:accPr>
              <m:e>
                <m:r>
                  <m:t>d</m:t>
                </m:r>
              </m:e>
            </m:acc>
          </m:e>
          <m:sub>
            <m:r>
              <m:t>i</m:t>
            </m:r>
          </m:sub>
        </m:sSub>
        <m:r>
          <m:rPr>
            <m:sty m:val="p"/>
          </m:rPr>
          <m:t>|</m:t>
        </m:r>
        <m:r>
          <m:rPr>
            <m:sty m:val="p"/>
          </m:rPr>
          <m:t>⋅</m:t>
        </m:r>
        <m:sSub>
          <m:e>
            <m:r>
              <m:rPr>
                <m:sty m:val="p"/>
              </m:rPr>
              <m:t>S</m:t>
            </m:r>
            <m:r>
              <m:rPr>
                <m:sty m:val="p"/>
              </m:rPr>
              <m:t>S</m:t>
            </m:r>
            <m:r>
              <m:rPr>
                <m:sty m:val="p"/>
              </m:rPr>
              <m:t>R</m:t>
            </m:r>
          </m:e>
          <m:sub>
            <m:r>
              <m:t>i</m:t>
            </m:r>
          </m:sub>
        </m:sSub>
        <m:r>
          <m:rPr>
            <m:sty m:val="p"/>
          </m:rPr>
          <m:t>⋅</m:t>
        </m:r>
        <m:r>
          <m:rPr>
            <m:sty m:val="p"/>
          </m:rPr>
          <m:t>(</m:t>
        </m:r>
        <m:r>
          <m:t>1</m:t>
        </m:r>
        <m:r>
          <m:rPr>
            <m:sty m:val="p"/>
          </m:rPr>
          <m:t>−</m:t>
        </m:r>
        <m:sSub>
          <m:e>
            <m:r>
              <m:t>q</m:t>
            </m:r>
          </m:e>
          <m:sub>
            <m:r>
              <m:t>i</m:t>
            </m:r>
          </m:sub>
        </m:sSub>
        <m:r>
          <m:rPr>
            <m:sty m:val="p"/>
          </m:rPr>
          <m:t>)</m:t>
        </m:r>
      </m:oMath>
      <w:r>
        <w:t xml:space="preserve"> </w:t>
      </w:r>
      <w:r>
        <w:t xml:space="preserve">that integrates effect size, significance, and leave-one-subject-out directional stability into a single ranking interpretable as expected effect magnitude conditional on both reliabilities. Third,</w:t>
      </w:r>
      <w:r>
        <w:t xml:space="preserve"> </w:t>
      </w:r>
      <w:r>
        <w:rPr>
          <w:b/>
          <w:bCs/>
        </w:rPr>
        <w:t xml:space="preserve">deterministic execution</w:t>
      </w:r>
      <w:r>
        <w:t xml:space="preserve">: byte-exact reproduction, head-to-head validation against</w:t>
      </w:r>
      <w:r>
        <w:t xml:space="preserve"> </w:t>
      </w:r>
      <w:r>
        <w:rPr>
          <w:rStyle w:val="VerbatimChar"/>
        </w:rPr>
        <w:t xml:space="preserve">OlinkAnalyze</w:t>
      </w:r>
      <w:r>
        <w:t xml:space="preserve"> </w:t>
      </w:r>
      <w:r>
        <w:t xml:space="preserve">and</w:t>
      </w:r>
      <w:r>
        <w:t xml:space="preserve"> </w:t>
      </w:r>
      <w:r>
        <w:rPr>
          <w:rStyle w:val="VerbatimChar"/>
        </w:rPr>
        <w:t xml:space="preserve">limma</w:t>
      </w:r>
      <w:r>
        <w:t xml:space="preserve"> </w:t>
      </w:r>
      <w:r>
        <w:t xml:space="preserve">on the four Dube contrasts, and ~100-line Python adapters that transport the pipeline to three independent cohorts on two platforms — Gisby et al. 2021 COVID dialysis (Olink Target 96, paired longitudinal, n=23) [17], Wei et al. 2025 Alzheimer plasma (Olink Target 96, unpaired three-way case-control, n=10/group) [18], and Gisby et al. 2022 COVID dialysis (SomaLogic SomaScan v4.1, paired longitudinal, n=28, 6,360 proteins) [19] — demonstrating that the downstream statistical machinery is platform-agnostic. The unpaired application added a Welch two-sample mode (</w:t>
      </w:r>
      <w:r>
        <w:rPr>
          <w:rStyle w:val="VerbatimChar"/>
        </w:rPr>
        <w:t xml:space="preserve">--test welch-t</w:t>
      </w:r>
      <w:r>
        <w:t xml:space="preserve">) verified against</w:t>
      </w:r>
      <w:r>
        <w:t xml:space="preserve"> </w:t>
      </w:r>
      <w:r>
        <w:rPr>
          <w:rStyle w:val="VerbatimChar"/>
        </w:rPr>
        <w:t xml:space="preserve">scipy</w:t>
      </w:r>
      <w:r>
        <w:t xml:space="preserve"> </w:t>
      </w:r>
      <w:r>
        <w:t xml:space="preserve">to machine precision. Biological interpretation of each case study is reported at the evidence level its sample size allows.</w:t>
      </w:r>
    </w:p>
    <w:bookmarkEnd w:id="10"/>
    <w:bookmarkStart w:id="21" w:name="results"/>
    <w:p>
      <w:pPr>
        <w:pStyle w:val="Heading2"/>
      </w:pPr>
      <w:r>
        <w:t xml:space="preserve">Results</w:t>
      </w:r>
    </w:p>
    <w:bookmarkStart w:id="11" w:name="command-surface"/>
    <w:p>
      <w:pPr>
        <w:pStyle w:val="Heading3"/>
      </w:pPr>
      <w:r>
        <w:t xml:space="preserve">Command surface</w:t>
      </w:r>
    </w:p>
    <w:p>
      <w:pPr>
        <w:pStyle w:val="FirstParagraph"/>
      </w:pPr>
      <w:r>
        <w:t xml:space="preserve">Atman exposes one binary with stages that compose linearly (Fig 1).</w:t>
      </w:r>
      <w:r>
        <w:t xml:space="preserve"> </w:t>
      </w:r>
      <w:r>
        <w:rPr>
          <w:rStyle w:val="VerbatimChar"/>
        </w:rPr>
        <w:t xml:space="preserve">ingest</w:t>
      </w:r>
      <w:r>
        <w:t xml:space="preserve"> </w:t>
      </w:r>
      <w:r>
        <w:t xml:space="preserve">parses raw Olink NPX CSV into canonical long-format</w:t>
      </w:r>
      <w:r>
        <w:t xml:space="preserve"> </w:t>
      </w:r>
      <w:r>
        <w:rPr>
          <w:rStyle w:val="VerbatimChar"/>
        </w:rPr>
        <w:t xml:space="preserve">measurements.tsv</w:t>
      </w:r>
      <w:r>
        <w:t xml:space="preserve">,</w:t>
      </w:r>
      <w:r>
        <w:t xml:space="preserve"> </w:t>
      </w:r>
      <w:r>
        <w:rPr>
          <w:rStyle w:val="VerbatimChar"/>
        </w:rPr>
        <w:t xml:space="preserve">proteins.tsv</w:t>
      </w:r>
      <w:r>
        <w:t xml:space="preserve">, and</w:t>
      </w:r>
      <w:r>
        <w:t xml:space="preserve"> </w:t>
      </w:r>
      <w:r>
        <w:rPr>
          <w:rStyle w:val="VerbatimChar"/>
        </w:rPr>
        <w:t xml:space="preserve">samples.tsv</w:t>
      </w:r>
      <w:r>
        <w:t xml:space="preserve">.</w:t>
      </w:r>
      <w:r>
        <w:t xml:space="preserve"> </w:t>
      </w:r>
      <w:r>
        <w:rPr>
          <w:rStyle w:val="VerbatimChar"/>
        </w:rPr>
        <w:t xml:space="preserve">qc</w:t>
      </w:r>
      <w:r>
        <w:t xml:space="preserve"> </w:t>
      </w:r>
      <w:r>
        <w:t xml:space="preserve">masks rows failing the Dube rule (sample- or assay-level QC warning not</w:t>
      </w:r>
      <w:r>
        <w:t xml:space="preserve"> </w:t>
      </w:r>
      <w:r>
        <w:rPr>
          <w:rStyle w:val="VerbatimChar"/>
        </w:rPr>
        <w:t xml:space="preserve">PASS</w:t>
      </w:r>
      <w:r>
        <w:t xml:space="preserve">) while preserving raw values.</w:t>
      </w:r>
      <w:r>
        <w:t xml:space="preserve"> </w:t>
      </w:r>
      <w:r>
        <w:rPr>
          <w:rStyle w:val="VerbatimChar"/>
        </w:rPr>
        <w:t xml:space="preserve">matrix</w:t>
      </w:r>
      <w:r>
        <w:t xml:space="preserve"> </w:t>
      </w:r>
      <w:r>
        <w:t xml:space="preserve">emits panel-wise wide matrices.</w:t>
      </w:r>
      <w:r>
        <w:t xml:space="preserve"> </w:t>
      </w:r>
      <w:r>
        <w:rPr>
          <w:rStyle w:val="VerbatimChar"/>
        </w:rPr>
        <w:t xml:space="preserve">fold-change</w:t>
      </w:r>
      <w:r>
        <w:t xml:space="preserve"> </w:t>
      </w:r>
      <w:r>
        <w:t xml:space="preserve">computes Neumaier-compensated log2 contrast means.</w:t>
      </w:r>
      <w:r>
        <w:t xml:space="preserve"> </w:t>
      </w:r>
      <w:r>
        <w:rPr>
          <w:rStyle w:val="VerbatimChar"/>
        </w:rPr>
        <w:t xml:space="preserve">de</w:t>
      </w:r>
      <w:r>
        <w:t xml:space="preserve"> </w:t>
      </w:r>
      <w:r>
        <w:t xml:space="preserve">fits paired Student’s t-tests (</w:t>
      </w:r>
      <w:r>
        <w:rPr>
          <w:rStyle w:val="VerbatimChar"/>
        </w:rPr>
        <w:t xml:space="preserve">--test paired-t</w:t>
      </w:r>
      <w:r>
        <w:t xml:space="preserve">), a moderated empirical-Bayes variance-shrinkage alternative for paired designs (</w:t>
      </w:r>
      <w:r>
        <w:rPr>
          <w:rStyle w:val="VerbatimChar"/>
        </w:rPr>
        <w:t xml:space="preserve">--test moderated --moderation-prior-df 4</w:t>
      </w:r>
      <w:r>
        <w:t xml:space="preserve">), or a Welch two-sample t-test for unpaired case-control designs (</w:t>
      </w:r>
      <w:r>
        <w:rPr>
          <w:rStyle w:val="VerbatimChar"/>
        </w:rPr>
        <w:t xml:space="preserve">--test welch-t</w:t>
      </w:r>
      <w:r>
        <w:t xml:space="preserve">), with Benjamini-Hochberg correction within each contrast family.</w:t>
      </w:r>
      <w:r>
        <w:t xml:space="preserve"> </w:t>
      </w:r>
      <w:r>
        <w:rPr>
          <w:rStyle w:val="VerbatimChar"/>
        </w:rPr>
        <w:t xml:space="preserve">module-de</w:t>
      </w:r>
      <w:r>
        <w:t xml:space="preserve"> </w:t>
      </w:r>
      <w:r>
        <w:t xml:space="preserve">runs the same tests at the module level against a modules.tsv produced either by hand-curation or by</w:t>
      </w:r>
      <w:r>
        <w:t xml:space="preserve"> </w:t>
      </w:r>
      <w:r>
        <w:rPr>
          <w:rStyle w:val="VerbatimChar"/>
        </w:rPr>
        <w:t xml:space="preserve">scripts/learn_modules.py</w:t>
      </w:r>
      <w:r>
        <w:t xml:space="preserve"> </w:t>
      </w:r>
      <w:r>
        <w:t xml:space="preserve">(complete linkage on per-subject delta correlations). The heterogeneity trio operates on DE outputs or per-subject deltas:</w:t>
      </w:r>
      <w:r>
        <w:t xml:space="preserve"> </w:t>
      </w:r>
      <w:r>
        <w:rPr>
          <w:rStyle w:val="VerbatimChar"/>
        </w:rPr>
        <w:t xml:space="preserve">asymmetry</w:t>
      </w:r>
      <w:r>
        <w:t xml:space="preserve"> </w:t>
      </w:r>
      <w:r>
        <w:t xml:space="preserve">emits paired-contrast asymmetry metrics for provocation-vs-rest contrast pairs;</w:t>
      </w:r>
      <w:r>
        <w:t xml:space="preserve"> </w:t>
      </w:r>
      <w:r>
        <w:rPr>
          <w:rStyle w:val="VerbatimChar"/>
        </w:rPr>
        <w:t xml:space="preserve">robustness</w:t>
      </w:r>
      <w:r>
        <w:t xml:space="preserve"> </w:t>
      </w:r>
      <w:r>
        <w:t xml:space="preserve">summarises leave-one-subject-out rank stability, strict/relaxed hit retention, and threshold sensitivity;</w:t>
      </w:r>
      <w:r>
        <w:t xml:space="preserve"> </w:t>
      </w:r>
      <w:r>
        <w:rPr>
          <w:rStyle w:val="VerbatimChar"/>
        </w:rPr>
        <w:t xml:space="preserve">module-trajectory</w:t>
      </w:r>
      <w:r>
        <w:t xml:space="preserve"> </w:t>
      </w:r>
      <w:r>
        <w:t xml:space="preserve">scores user-supplied gene-set modules per subject per contrast. Pathway over-representation and phenotype OLS regression are driven by Python scripts that shell out to a sibling</w:t>
      </w:r>
      <w:r>
        <w:t xml:space="preserve"> </w:t>
      </w:r>
      <w:r>
        <w:rPr>
          <w:rStyle w:val="VerbatimChar"/>
        </w:rPr>
        <w:t xml:space="preserve">genesets</w:t>
      </w:r>
      <w:r>
        <w:t xml:space="preserve"> </w:t>
      </w:r>
      <w:r>
        <w:t xml:space="preserve">CLI, following the same deterministic TSV-in / TSV-out contract. Every stage is atomic: intermediates are deposited to disk, later stages are pure functions of them, and</w:t>
      </w:r>
      <w:r>
        <w:t xml:space="preserve"> </w:t>
      </w:r>
      <w:r>
        <w:rPr>
          <w:rStyle w:val="VerbatimChar"/>
        </w:rPr>
        <w:t xml:space="preserve">scripts/reproduce_paper.sh</w:t>
      </w:r>
      <w:r>
        <w:t xml:space="preserve"> </w:t>
      </w:r>
      <w:r>
        <w:t xml:space="preserve">chains the full DAG in one invocation.</w:t>
      </w:r>
    </w:p>
    <w:p>
      <w:pPr>
        <w:pStyle w:val="BodyText"/>
      </w:pPr>
      <w:r>
        <w:t xml:space="preserve">Applied to Dube, the workflow processed 122,135 measurements across 2,943 assays. QC masking removed 3,725 rows from inferential abundance while preserving raw values; the resulting 118,410 usable rows and balanced 40-sample design (10 participants × 4 conditions) matched the published filtered NPX files cell-exactly and the log2 fold-change tables to 1.05 × 10⁻¹⁵ (IEEE 754 last-bit drift), confirming that reproduction and downstream inference share one engine without toolchain divergence [4].</w:t>
      </w:r>
    </w:p>
    <w:bookmarkEnd w:id="11"/>
    <w:bookmarkStart w:id="12" w:name="Xe68bdd4c27008e52b495c9fe3b82b9aecac1acb"/>
    <w:p>
      <w:pPr>
        <w:pStyle w:val="Heading3"/>
      </w:pPr>
      <w:r>
        <w:t xml:space="preserve">Benchmark: concordance and capability gap vs OlinkAnalyze and limma</w:t>
      </w:r>
    </w:p>
    <w:p>
      <w:pPr>
        <w:pStyle w:val="FirstParagraph"/>
      </w:pPr>
      <w:r>
        <w:t xml:space="preserve">We benchmarked Atman against</w:t>
      </w:r>
      <w:r>
        <w:t xml:space="preserve"> </w:t>
      </w:r>
      <w:r>
        <w:rPr>
          <w:rStyle w:val="VerbatimChar"/>
        </w:rPr>
        <w:t xml:space="preserve">OlinkAnalyze</w:t>
      </w:r>
      <w:r>
        <w:t xml:space="preserve"> </w:t>
      </w:r>
      <w:r>
        <w:t xml:space="preserve">5.0.0 [16] (</w:t>
      </w:r>
      <w:r>
        <w:rPr>
          <w:rStyle w:val="VerbatimChar"/>
        </w:rPr>
        <w:t xml:space="preserve">olink_ttest</w:t>
      </w:r>
      <w:r>
        <w:t xml:space="preserve"> </w:t>
      </w:r>
      <w:r>
        <w:t xml:space="preserve">paired by subject;</w:t>
      </w:r>
      <w:r>
        <w:t xml:space="preserve"> </w:t>
      </w:r>
      <w:r>
        <w:rPr>
          <w:rStyle w:val="VerbatimChar"/>
        </w:rPr>
        <w:t xml:space="preserve">olink_lmer</w:t>
      </w:r>
      <w:r>
        <w:t xml:space="preserve"> </w:t>
      </w:r>
      <w:r>
        <w:t xml:space="preserve">as a secondary repeated-measures check) and</w:t>
      </w:r>
      <w:r>
        <w:t xml:space="preserve"> </w:t>
      </w:r>
      <w:r>
        <w:rPr>
          <w:rStyle w:val="VerbatimChar"/>
        </w:rPr>
        <w:t xml:space="preserve">limma</w:t>
      </w:r>
      <w:r>
        <w:t xml:space="preserve"> </w:t>
      </w:r>
      <w:r>
        <w:t xml:space="preserve">3.66 (paired design</w:t>
      </w:r>
      <w:r>
        <w:t xml:space="preserve"> </w:t>
      </w:r>
      <w:r>
        <w:rPr>
          <w:rStyle w:val="VerbatimChar"/>
        </w:rPr>
        <w:t xml:space="preserve">~ participant + condition</w:t>
      </w:r>
      <w:r>
        <w:t xml:space="preserve">,</w:t>
      </w:r>
      <w:r>
        <w:t xml:space="preserve"> </w:t>
      </w:r>
      <w:r>
        <w:rPr>
          <w:rStyle w:val="VerbatimChar"/>
        </w:rPr>
        <w:t xml:space="preserve">lmFit</w:t>
      </w:r>
      <w:r>
        <w:t xml:space="preserve"> </w:t>
      </w:r>
      <w:r>
        <w:t xml:space="preserve">+</w:t>
      </w:r>
      <w:r>
        <w:t xml:space="preserve"> </w:t>
      </w:r>
      <w:r>
        <w:rPr>
          <w:rStyle w:val="VerbatimChar"/>
        </w:rPr>
        <w:t xml:space="preserve">eBayes</w:t>
      </w:r>
      <w:r>
        <w:t xml:space="preserve">) on all four Dube contrasts, with 2,938 proteins tested per contrast and</w:t>
      </w:r>
      <w:r>
        <w:t xml:space="preserve"> </w:t>
      </w:r>
      <w:r>
        <w:rPr>
          <w:rStyle w:val="VerbatimChar"/>
        </w:rPr>
        <w:t xml:space="preserve">min_pairs = 5</w:t>
      </w:r>
      <w:r>
        <w:t xml:space="preserve"> </w:t>
      </w:r>
      <w:r>
        <w:t xml:space="preserve">throughout (Fig 2, Table 1). All three tools agree on the first-order structure of the dataset: acute contrasts dominate (PT1-PR1 and PT2-PR2), adaptation contrasts are sparse (PT2-PT1, PR2-PR1). The informative concordance signal is containment rather than Jaccard. At q&lt;0.10, Atman’s hit set contains 31/33 (94%) of OlinkAnalyze’s hits on PT1-PR1, 44/44 (100%) of OlinkAnalyze’s on PT2-PR2, and 145/150 (97%) of limma’s on PT2-PR2. Atman additionally calls 31 hits on PT1-PR1 and 233 on PT2-PR2 beyond OlinkAnalyze’s set at the same threshold. The corresponding Jaccard overlaps (0.48 and 0.16 for Atman-OlinkAnalyze, 0.24 and 0.51 for Atman-limma) are mechanically depressed by set-size imbalance: when one tool calls many more hits than another under otherwise comparable biology, Jaccard falls even when the smaller set is fully contained in the larger. The count differences track statistical-model differences — Atman’s exact-df paired Student’s t versus OlinkAnalyze’s Satterthwaite-corrected paired t in v5.0.0 and limma’s empirical-Bayes-moderated t — rather than divergent biology.</w:t>
      </w:r>
    </w:p>
    <w:p>
      <w:pPr>
        <w:pStyle w:val="BodyText"/>
      </w:pPr>
      <w:r>
        <w:t xml:space="preserve">The residual hits Atman calls beyond the comparator sets reflect different effective degrees of freedom and variance handling across paired Student’s t, Satterthwaite-corrected Welch-style t, and empirical-Bayes moderation. A within-Atman comparison between paired-t and moderated modes on the four Dube contrasts (Fig 2C; supplementary</w:t>
      </w:r>
      <w:r>
        <w:t xml:space="preserve"> </w:t>
      </w:r>
      <w:r>
        <w:rPr>
          <w:rStyle w:val="VerbatimChar"/>
        </w:rPr>
        <w:t xml:space="preserve">benchmarks/out/atman_pairedt_vs_moderated.tsv</w:t>
      </w:r>
      <w:r>
        <w:t xml:space="preserve">) shows complete sign concordance (1.00) and Spearman rank concordance ρ=1.00 in every contrast, confirming that biological direction is invariant under mode choice even when q-threshold hit counts diverge.</w:t>
      </w:r>
    </w:p>
    <w:p>
      <w:pPr>
        <w:pStyle w:val="BodyText"/>
      </w:pPr>
      <w:r>
        <w:t xml:space="preserve">Runtime (0.10 s for Atman vs 10.81 s for</w:t>
      </w:r>
      <w:r>
        <w:t xml:space="preserve"> </w:t>
      </w:r>
      <w:r>
        <w:rPr>
          <w:rStyle w:val="VerbatimChar"/>
        </w:rPr>
        <w:t xml:space="preserve">OlinkAnalyze</w:t>
      </w:r>
      <w:r>
        <w:t xml:space="preserve"> </w:t>
      </w:r>
      <w:r>
        <w:t xml:space="preserve">and 0.32 s for</w:t>
      </w:r>
      <w:r>
        <w:t xml:space="preserve"> </w:t>
      </w:r>
      <w:r>
        <w:rPr>
          <w:rStyle w:val="VerbatimChar"/>
        </w:rPr>
        <w:t xml:space="preserve">limma</w:t>
      </w:r>
      <w:r>
        <w:t xml:space="preserve">) mixes algorithmic and implementation-language differences and is incidental to the contribution. The substantive difference is capability coverage:</w:t>
      </w:r>
      <w:r>
        <w:t xml:space="preserve"> </w:t>
      </w:r>
      <w:r>
        <w:rPr>
          <w:rStyle w:val="VerbatimChar"/>
        </w:rPr>
        <w:t xml:space="preserve">asymmetry</w:t>
      </w:r>
      <w:r>
        <w:t xml:space="preserve">,</w:t>
      </w:r>
      <w:r>
        <w:t xml:space="preserve"> </w:t>
      </w:r>
      <w:r>
        <w:rPr>
          <w:rStyle w:val="VerbatimChar"/>
        </w:rPr>
        <w:t xml:space="preserve">robustness</w:t>
      </w:r>
      <w:r>
        <w:t xml:space="preserve">,</w:t>
      </w:r>
      <w:r>
        <w:t xml:space="preserve"> </w:t>
      </w:r>
      <w:r>
        <w:rPr>
          <w:rStyle w:val="VerbatimChar"/>
        </w:rPr>
        <w:t xml:space="preserve">module-trajectory</w:t>
      </w:r>
      <w:r>
        <w:t xml:space="preserve">,</w:t>
      </w:r>
      <w:r>
        <w:t xml:space="preserve"> </w:t>
      </w:r>
      <w:r>
        <w:rPr>
          <w:rStyle w:val="VerbatimChar"/>
        </w:rPr>
        <w:t xml:space="preserve">module-de</w:t>
      </w:r>
      <w:r>
        <w:t xml:space="preserve">, universe-corrected ORA, and the stability-weighted ranking score have no equivalent in either comparator (Table 1, lower section).</w:t>
      </w:r>
      <w:r>
        <w:t xml:space="preserve"> </w:t>
      </w:r>
      <w:r>
        <w:rPr>
          <w:rStyle w:val="VerbatimChar"/>
        </w:rPr>
        <w:t xml:space="preserve">OlinkAnalyze</w:t>
      </w:r>
      <w:r>
        <w:t xml:space="preserve"> </w:t>
      </w:r>
      <w:r>
        <w:t xml:space="preserve">ships</w:t>
      </w:r>
      <w:r>
        <w:t xml:space="preserve"> </w:t>
      </w:r>
      <w:r>
        <w:rPr>
          <w:rStyle w:val="VerbatimChar"/>
        </w:rPr>
        <w:t xml:space="preserve">olink_lmer</w:t>
      </w:r>
      <w:r>
        <w:t xml:space="preserve"> </w:t>
      </w:r>
      <w:r>
        <w:t xml:space="preserve">for per-protein linear mixed models and</w:t>
      </w:r>
      <w:r>
        <w:t xml:space="preserve"> </w:t>
      </w:r>
      <w:r>
        <w:rPr>
          <w:rStyle w:val="VerbatimChar"/>
        </w:rPr>
        <w:t xml:space="preserve">olink_pathway_enrichment</w:t>
      </w:r>
      <w:r>
        <w:t xml:space="preserve"> </w:t>
      </w:r>
      <w:r>
        <w:t xml:space="preserve">for ORA;</w:t>
      </w:r>
      <w:r>
        <w:t xml:space="preserve"> </w:t>
      </w:r>
      <w:r>
        <w:rPr>
          <w:rStyle w:val="VerbatimChar"/>
        </w:rPr>
        <w:t xml:space="preserve">limma</w:t>
      </w:r>
      <w:r>
        <w:t xml:space="preserve"> </w:t>
      </w:r>
      <w:r>
        <w:t xml:space="preserve">supports moderated-t and</w:t>
      </w:r>
      <w:r>
        <w:t xml:space="preserve"> </w:t>
      </w:r>
      <w:r>
        <w:rPr>
          <w:rStyle w:val="VerbatimChar"/>
        </w:rPr>
        <w:t xml:space="preserve">duplicateCorrelation</w:t>
      </w:r>
      <w:r>
        <w:t xml:space="preserve">. Neither emits per-subject response burden, fingerprint recurrence, LOO rank stability, threshold sensitivity, permutation null, module-trajectory scores, data-driven module-DE, or stability-weighted rankings — so the concordance data validate DE direction, and the capability matrix is where the methodological contribution lives.</w:t>
      </w:r>
    </w:p>
    <w:bookmarkEnd w:id="12"/>
    <w:bookmarkStart w:id="13" w:name="X2abef565c21c68b10b604bda37c2c8bdfd2488f"/>
    <w:p>
      <w:pPr>
        <w:pStyle w:val="Heading3"/>
      </w:pPr>
      <w:r>
        <w:t xml:space="preserve">Cohort-level signal is concentrated in acute transitions, not acclimation contrasts</w:t>
      </w:r>
    </w:p>
    <w:p>
      <w:pPr>
        <w:pStyle w:val="FirstParagraph"/>
      </w:pPr>
      <w:r>
        <w:t xml:space="preserve">Differential abundance was evaluated for 2,938 proteins per comparison. Discovery burden was concentrated in acute contrasts (PT1-PR1: 36 at q&lt;0.05, 62 at q&lt;0.10; PT2-PR2: 37 and 277) and sparse in acclimation contrasts (PT2-PT1: 7 and 8; PR2-PR1: 2 and 7), indicating that the primary statistical structure is acute heat response rather than acclimation-at-rest shift (Fig 2A). Acclimation signal was stronger under thermal challenge (PT2-PT1) than at rest (PR2-PR1), consistent with adaptation effects being more detectable during provocation. Canonical heat-stress proteins were directionally concordant: in PT2-PR2, HSPA1A mean_diff 0.71 (q=0.096), DNAJB1 0.86 (q=0.157), HSPB1 1.28 (q=0.199). Not all reached strict FDR; directional coherence across markers is a concordance check, not per-marker inferential proof.</w:t>
      </w:r>
    </w:p>
    <w:bookmarkEnd w:id="13"/>
    <w:bookmarkStart w:id="14" w:name="X8beaa11caa0cd48a456a64b22af6114a384c362"/>
    <w:p>
      <w:pPr>
        <w:pStyle w:val="Heading3"/>
      </w:pPr>
      <w:r>
        <w:t xml:space="preserve">Robustness analysis separates stable directional biology from threshold-sensitive fine structure</w:t>
      </w:r>
    </w:p>
    <w:p>
      <w:pPr>
        <w:pStyle w:val="FirstParagraph"/>
      </w:pPr>
      <w:r>
        <w:t xml:space="preserve">LOO reruns (10 total) were used to probe dependence on individual participants. Across all proteins, directionality in acute contrasts was highly stable: mean sign-match rate was 0.9358 for PT1-PR1 and 0.9398 for PT2-PR2. This indicates that the bulk directional geometry of the acute response is not driven by single-subject artifacts.</w:t>
      </w:r>
    </w:p>
    <w:p>
      <w:pPr>
        <w:pStyle w:val="BodyText"/>
      </w:pPr>
      <w:r>
        <w:t xml:space="preserve">However, strict-threshold retention was substantially lower for many individual proteins. Of baseline acute q&lt;0.05 hits, 11/36 (PT1-PR1) and 5/37 (PT2-PR2) remained q&lt;0.05 in all LOO reruns. At a less brittle threshold (q&lt;0.10, &gt;=8/10 reruns), retention increased to 30/36 and 33/37, respectively. This pattern shows that the dataset supports strong directional and moderate-threshold reproducibility, while strict single-protein claims are more sensitive near the significance boundary.</w:t>
      </w:r>
    </w:p>
    <w:p>
      <w:pPr>
        <w:pStyle w:val="BodyText"/>
      </w:pPr>
      <w:r>
        <w:t xml:space="preserve">Rank robustness showed similar behavior. Top-20 overlap with baseline averaged 16.0 proteins for PT1-PR1 and 14.5 proteins for PT2-PR2 (mean Jaccard 0.673 and 0.589). This is consistent with moderate ranking stability: a stable core plus an unstable margin. Threshold-sweep analysis (min_pairs 4, 5, 6) did not change headline counts in any family, indicating that these conclusions are not artifacts of one min_pairs setting (Fig 3).</w:t>
      </w:r>
    </w:p>
    <w:p>
      <w:pPr>
        <w:pStyle w:val="BodyText"/>
      </w:pPr>
      <w:r>
        <w:t xml:space="preserve">A mixed-model sensitivity on acute q&lt;0.10 proteins (random-intercept</w:t>
      </w:r>
      <w:r>
        <w:t xml:space="preserve"> </w:t>
      </w:r>
      <w:r>
        <w:rPr>
          <w:rStyle w:val="VerbatimChar"/>
        </w:rPr>
        <w:t xml:space="preserve">abundance ~ condition + (1|subject)</w:t>
      </w:r>
      <w:r>
        <w:t xml:space="preserve">) converged for all tested proteins (62/62 PT1-PR1, 277/277 PT2-PR2) with sign concordance 1.00 and Spearman rank concordance 1.00 versus paired-t; given the paired repeated-measures structure at n=10, this is consistency rather than independent orthogonal validation.</w:t>
      </w:r>
    </w:p>
    <w:bookmarkEnd w:id="14"/>
    <w:bookmarkStart w:id="15" w:name="X348c6cc43948cdbf459f35758eb09d1857e1b8b"/>
    <w:p>
      <w:pPr>
        <w:pStyle w:val="Heading3"/>
      </w:pPr>
      <w:r>
        <w:t xml:space="preserve">Inter-individual variation is large and organized, not residual noise</w:t>
      </w:r>
    </w:p>
    <w:p>
      <w:pPr>
        <w:pStyle w:val="FirstParagraph"/>
      </w:pPr>
      <w:r>
        <w:t xml:space="preserve">Subject-level burden metrics showed broad range on both axes (acute 0.39–0.61, mean 0.49; adaptation 0.35–0.63, mean 0.47), positively correlated (r=0.63) — partial coupling between acute-response amplitude and longer adaptation signal without redundancy (Fig S1A,C).</w:t>
      </w:r>
    </w:p>
    <w:p>
      <w:pPr>
        <w:pStyle w:val="BodyText"/>
      </w:pPr>
      <w:r>
        <w:t xml:space="preserve">Subject rankings were preserved under alternative burden formulations (top-500-variance and inverse-variance weighted; acute Spearman 0.988 and 0.952, adaptation 0.915 and 0.988), so the heterogeneity pattern is not an artefact of one burden formula.</w:t>
      </w:r>
    </w:p>
    <w:p>
      <w:pPr>
        <w:pStyle w:val="BodyText"/>
      </w:pPr>
      <w:r>
        <w:t xml:space="preserve">A median-split binning of the two burden axes is shown descriptively in Fig S1B,D; at n=10 with two median splits, occupancy of all four bins is unsurprising and is not evidence of discrete responder classes.</w:t>
      </w:r>
    </w:p>
    <w:p>
      <w:pPr>
        <w:pStyle w:val="BodyText"/>
      </w:pPr>
      <w:r>
        <w:t xml:space="preserve">To evaluate whether observed heterogeneity exceeded a noise-preserving null, we permuted subject labels within each protein (500 iterations) and recomputed burdens. Observed between-subject dispersion was substantially above null expectation (acute SD: observed 0.075997 vs null mean 0.006365, empirical p=0.001996; adaptation SD: observed 0.088434 vs null mean 0.006893, empirical p=0.001996). Because this equals the permutation-resolution floor (1/501), we report these as p&lt;0.002 at this iteration depth.</w:t>
      </w:r>
    </w:p>
    <w:bookmarkEnd w:id="15"/>
    <w:bookmarkStart w:id="16" w:name="X91b5f6ab4f0435bf0c51f6689323a4fafa305b0"/>
    <w:p>
      <w:pPr>
        <w:pStyle w:val="Heading3"/>
      </w:pPr>
      <w:r>
        <w:t xml:space="preserve">Recurrent fingerprint and high-variance proteins as candidate features for follow-up</w:t>
      </w:r>
    </w:p>
    <w:p>
      <w:pPr>
        <w:pStyle w:val="FirstParagraph"/>
      </w:pPr>
      <w:r>
        <w:t xml:space="preserve">Per-subject top-5 acute protein fingerprints were non-random across participants. In PT2-PR2, DAND5 appeared in every subject’s top-5 (10/10) and GH1 in 8/10; in PT1-PR1, ITGAL appeared in 7/10, GH1 in 5/10, and AGBL2 in 4/10 (Fig S2B). Highest acute inter-individual variance proteins were ITGAL, DAND5, COL4A4, GH1, MUC16, NPPB, and AGBL2 (Fig S2A,C). These recurrence and variance rankings identify candidate features for follow-up in larger cohorts; at n=10, they are not individually strong after BH correction and mechanistic interpretation would require orthogonal support this dataset does not provide.</w:t>
      </w:r>
    </w:p>
    <w:bookmarkEnd w:id="16"/>
    <w:bookmarkStart w:id="17" w:name="Xab67e22f30e4c4fc1456db1dc32beaa3eb7f777"/>
    <w:p>
      <w:pPr>
        <w:pStyle w:val="Heading3"/>
      </w:pPr>
      <w:r>
        <w:t xml:space="preserve">Exploratory low-dimensional projection; phenotype coupling is hypothesis-generating only</w:t>
      </w:r>
    </w:p>
    <w:p>
      <w:pPr>
        <w:pStyle w:val="FirstParagraph"/>
      </w:pPr>
      <w:r>
        <w:t xml:space="preserve">As an exploratory low-dimensional projection, SVD on the burden + module-trajectory feature matrix yielded two components (PC1, PC2) explaining 22.66% and 20.66% of feature variance, with burden and heat-shock / ECM-remodelling module-contrast features dominating PC1 loadings (Fig S3A–C). The strongest raw physiology associations were PC2 with the acclimation body-temperature delta (acc_dTbody, r=−0.854, p=0.007, n=8) and PC1 with the day-1 sympathetic nerve activity delta (d1_dSSNA, r=−0.725, p=0.018, n=10). After BH correction within metric families, no metric-endpoint association reached q&lt;0.10 (Fig S3D). At n=8 for key acclimation endpoints and with SVD on 10 subjects across 18 engineered features, these are exploratory projections rather than established latent axes, and the physiology correlations are hypothesis-generating only.</w:t>
      </w:r>
    </w:p>
    <w:p>
      <w:pPr>
        <w:pStyle w:val="BodyText"/>
      </w:pPr>
      <w:r>
        <w:t xml:space="preserve">The appropriate interpretation is descriptive, not confirmatory: the projection shows structure within the feature space defined by the re-curated modules, but endpoint-specific inferential claims remain underpowered at this cohort size.</w:t>
      </w:r>
    </w:p>
    <w:bookmarkEnd w:id="17"/>
    <w:bookmarkStart w:id="18" w:name="X48a79458ba9a6c2bc1c21d04a45b81be98ae218"/>
    <w:p>
      <w:pPr>
        <w:pStyle w:val="Heading3"/>
      </w:pPr>
      <w:r>
        <w:t xml:space="preserve">Multiscale inference: data-driven modules and module-level DE</w:t>
      </w:r>
    </w:p>
    <w:p>
      <w:pPr>
        <w:pStyle w:val="FirstParagraph"/>
      </w:pPr>
      <w:r>
        <w:t xml:space="preserve">Module-level DE can be interpreted as testing a low-dimensional projection of the protein space: each module score is a linear combination of the proteins assigned to it, and</w:t>
      </w:r>
      <w:r>
        <w:t xml:space="preserve"> </w:t>
      </w:r>
      <w:r>
        <w:rPr>
          <w:rStyle w:val="VerbatimChar"/>
        </w:rPr>
        <w:t xml:space="preserve">atman module-de</w:t>
      </w:r>
      <w:r>
        <w:t xml:space="preserve"> </w:t>
      </w:r>
      <w:r>
        <w:t xml:space="preserve">tests</w:t>
      </w:r>
      <w:r>
        <w:t xml:space="preserve"> </w:t>
      </w:r>
      <m:oMath>
        <m:r>
          <m:t>K</m:t>
        </m:r>
      </m:oMath>
      <w:r>
        <w:t xml:space="preserve"> </w:t>
      </w:r>
      <w:r>
        <w:t xml:space="preserve">such combinations instead of</w:t>
      </w:r>
      <w:r>
        <w:t xml:space="preserve"> </w:t>
      </w:r>
      <m:oMath>
        <m:r>
          <m:t>P</m:t>
        </m:r>
      </m:oMath>
      <w:r>
        <w:t xml:space="preserve"> </w:t>
      </w:r>
      <w:r>
        <w:t xml:space="preserve">proteins. When the empirical protein-protein covariance is non-random — which is the standard situation when biological regulons co-move — this trade is favourable for small-</w:t>
      </w:r>
      <m:oMath>
        <m:r>
          <m:t>n</m:t>
        </m:r>
      </m:oMath>
      <w:r>
        <w:t xml:space="preserve"> </w:t>
      </w:r>
      <w:r>
        <w:t xml:space="preserve">inference because (a) the BH denominator drops from</w:t>
      </w:r>
      <w:r>
        <w:t xml:space="preserve"> </w:t>
      </w:r>
      <m:oMath>
        <m:r>
          <m:t>P</m:t>
        </m:r>
      </m:oMath>
      <w:r>
        <w:t xml:space="preserve"> </w:t>
      </w:r>
      <w:r>
        <w:t xml:space="preserve">to</w:t>
      </w:r>
      <w:r>
        <w:t xml:space="preserve"> </w:t>
      </w:r>
      <m:oMath>
        <m:r>
          <m:t>K</m:t>
        </m:r>
      </m:oMath>
      <w:r>
        <w:t xml:space="preserve">, and (b) the per-module signal-to-noise approximately improves by</w:t>
      </w:r>
      <w:r>
        <w:t xml:space="preserve"> </w:t>
      </w:r>
      <m:oMath>
        <m:rad>
          <m:radPr>
            <m:degHide m:val="on"/>
          </m:radPr>
          <m:deg/>
          <m:e>
            <m:r>
              <m:rPr>
                <m:sty m:val="p"/>
              </m:rPr>
              <m:t>|</m:t>
            </m:r>
            <m:sSub>
              <m:e>
                <m:r>
                  <m:t>G</m:t>
                </m:r>
              </m:e>
              <m:sub>
                <m:r>
                  <m:t>k</m:t>
                </m:r>
              </m:sub>
            </m:sSub>
            <m:r>
              <m:rPr>
                <m:sty m:val="p"/>
              </m:rPr>
              <m:t>|</m:t>
            </m:r>
          </m:e>
        </m:rad>
      </m:oMath>
      <w:r>
        <w:t xml:space="preserve"> </w:t>
      </w:r>
      <w:r>
        <w:t xml:space="preserve">under coherent regulons (independent-noise limit). Atman realises this scale on the same pipeline:</w:t>
      </w:r>
      <w:r>
        <w:t xml:space="preserve"> </w:t>
      </w:r>
      <w:r>
        <w:rPr>
          <w:rStyle w:val="VerbatimChar"/>
        </w:rPr>
        <w:t xml:space="preserve">scripts/learn_modules.py</w:t>
      </w:r>
      <w:r>
        <w:t xml:space="preserve"> </w:t>
      </w:r>
      <w:r>
        <w:t xml:space="preserve">clusters proteins by complete linkage on the signed distance</w:t>
      </w:r>
      <w:r>
        <w:t xml:space="preserve"> </w:t>
      </w:r>
      <m:oMath>
        <m:sSub>
          <m:e>
            <m:r>
              <m:t>d</m:t>
            </m:r>
          </m:e>
          <m:sub>
            <m:r>
              <m:t>i</m:t>
            </m:r>
            <m:r>
              <m:t>j</m:t>
            </m:r>
          </m:sub>
        </m:sSub>
        <m:r>
          <m:rPr>
            <m:sty m:val="p"/>
          </m:rPr>
          <m:t>=</m:t>
        </m:r>
        <m:r>
          <m:rPr>
            <m:sty m:val="p"/>
          </m:rPr>
          <m:t>(</m:t>
        </m:r>
        <m:r>
          <m:t>1</m:t>
        </m:r>
        <m:r>
          <m:rPr>
            <m:sty m:val="p"/>
          </m:rPr>
          <m:t>−</m:t>
        </m:r>
        <m:sSub>
          <m:e>
            <m:r>
              <m:t>r</m:t>
            </m:r>
          </m:e>
          <m:sub>
            <m:r>
              <m:t>i</m:t>
            </m:r>
            <m:r>
              <m:t>j</m:t>
            </m:r>
          </m:sub>
        </m:sSub>
        <m:r>
          <m:rPr>
            <m:sty m:val="p"/>
          </m:rPr>
          <m:t>)</m:t>
        </m:r>
        <m:r>
          <m:rPr>
            <m:sty m:val="p"/>
          </m:rPr>
          <m:t>/</m:t>
        </m:r>
        <m:r>
          <m:t>2</m:t>
        </m:r>
      </m:oMath>
      <w:r>
        <w:t xml:space="preserve"> </w:t>
      </w:r>
      <w:r>
        <w:t xml:space="preserve">between per-subject-delta correlation vectors — complete linkage chosen for stability under small-</w:t>
      </w:r>
      <m:oMath>
        <m:r>
          <m:t>n</m:t>
        </m:r>
      </m:oMath>
      <w:r>
        <w:t xml:space="preserve"> </w:t>
      </w:r>
      <w:r>
        <w:t xml:space="preserve">correlation noise, where average linkage exhibits severe chaining on high-</w:t>
      </w:r>
      <m:oMath>
        <m:r>
          <m:t>P</m:t>
        </m:r>
      </m:oMath>
      <w:r>
        <w:t xml:space="preserve"> </w:t>
      </w:r>
      <w:r>
        <w:t xml:space="preserve">proteomics correlation matrices — with K=20 for Dube and K=15 for Gisby; and</w:t>
      </w:r>
      <w:r>
        <w:t xml:space="preserve"> </w:t>
      </w:r>
      <w:r>
        <w:rPr>
          <w:rStyle w:val="VerbatimChar"/>
        </w:rPr>
        <w:t xml:space="preserve">atman module-de</w:t>
      </w:r>
      <w:r>
        <w:t xml:space="preserve"> </w:t>
      </w:r>
      <w:r>
        <w:t xml:space="preserve">aggregates proteins into module scores per sample (mean</w:t>
      </w:r>
      <w:r>
        <w:t xml:space="preserve"> </w:t>
      </w:r>
      <w:r>
        <w:rPr>
          <w:rStyle w:val="VerbatimChar"/>
        </w:rPr>
        <w:t xml:space="preserve">effective_abundance()</w:t>
      </w:r>
      <w:r>
        <w:t xml:space="preserve"> </w:t>
      </w:r>
      <w:r>
        <w:t xml:space="preserve">over members) and runs the same paired-t, Welch-t, or moderated tests with BH-FDR across the</w:t>
      </w:r>
      <w:r>
        <w:t xml:space="preserve"> </w:t>
      </w:r>
      <m:oMath>
        <m:r>
          <m:t>K</m:t>
        </m:r>
      </m:oMath>
      <w:r>
        <w:t xml:space="preserve"> </w:t>
      </w:r>
      <w:r>
        <w:t xml:space="preserve">modules. Module learning is unsupervised and uses no gene lists or pathway databases.</w:t>
      </w:r>
    </w:p>
    <w:p>
      <w:pPr>
        <w:pStyle w:val="BodyText"/>
      </w:pPr>
      <w:r>
        <w:t xml:space="preserve">Protein-level and module-level hit yields compare directly because the underlying DE machinery is identical: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contrast</w:t>
            </w:r>
          </w:p>
        </w:tc>
        <w:tc>
          <w:tcPr/>
          <w:p>
            <w:pPr>
              <w:pStyle w:val="Compact"/>
            </w:pPr>
            <w:r>
              <w:t xml:space="preserve">protein-level q&lt;0.05</w:t>
            </w:r>
          </w:p>
        </w:tc>
        <w:tc>
          <w:tcPr/>
          <w:p>
            <w:pPr>
              <w:pStyle w:val="Compact"/>
            </w:pPr>
            <w:r>
              <w:t xml:space="preserve">module-level q&lt;0.05</w:t>
            </w:r>
          </w:p>
        </w:tc>
      </w:tr>
      <w:tr>
        <w:tc>
          <w:tcPr/>
          <w:p>
            <w:pPr>
              <w:pStyle w:val="Compact"/>
            </w:pPr>
            <w:r>
              <w:t xml:space="preserve">Dube</w:t>
            </w:r>
          </w:p>
        </w:tc>
        <w:tc>
          <w:tcPr/>
          <w:p>
            <w:pPr>
              <w:pStyle w:val="Compact"/>
            </w:pPr>
            <w:r>
              <w:t xml:space="preserve">PT1-PR1</w:t>
            </w:r>
          </w:p>
        </w:tc>
        <w:tc>
          <w:tcPr/>
          <w:p>
            <w:pPr>
              <w:pStyle w:val="Compact"/>
            </w:pPr>
            <w:r>
              <w:t xml:space="preserve">36 / 2,938 (1.2%)</w:t>
            </w:r>
          </w:p>
        </w:tc>
        <w:tc>
          <w:tcPr/>
          <w:p>
            <w:pPr>
              <w:pStyle w:val="Compact"/>
            </w:pPr>
            <w:r>
              <w:t xml:space="preserve">1 / 20 (5%)</w:t>
            </w:r>
          </w:p>
        </w:tc>
      </w:tr>
      <w:tr>
        <w:tc>
          <w:tcPr/>
          <w:p>
            <w:pPr>
              <w:pStyle w:val="Compact"/>
            </w:pPr>
            <w:r>
              <w:t xml:space="preserve">Dube</w:t>
            </w:r>
          </w:p>
        </w:tc>
        <w:tc>
          <w:tcPr/>
          <w:p>
            <w:pPr>
              <w:pStyle w:val="Compact"/>
            </w:pPr>
            <w:r>
              <w:t xml:space="preserve">PT2-PR2</w:t>
            </w:r>
          </w:p>
        </w:tc>
        <w:tc>
          <w:tcPr/>
          <w:p>
            <w:pPr>
              <w:pStyle w:val="Compact"/>
            </w:pPr>
            <w:r>
              <w:t xml:space="preserve">37 / 2,938 (1.3%)</w:t>
            </w:r>
          </w:p>
        </w:tc>
        <w:tc>
          <w:tcPr/>
          <w:p>
            <w:pPr>
              <w:pStyle w:val="Compact"/>
            </w:pPr>
            <w:r>
              <w:t xml:space="preserve">2 / 20 (10%)</w:t>
            </w:r>
          </w:p>
        </w:tc>
      </w:tr>
      <w:tr>
        <w:tc>
          <w:tcPr/>
          <w:p>
            <w:pPr>
              <w:pStyle w:val="Compact"/>
            </w:pPr>
            <w:r>
              <w:t xml:space="preserve">Gisby</w:t>
            </w:r>
          </w:p>
        </w:tc>
        <w:tc>
          <w:tcPr/>
          <w:p>
            <w:pPr>
              <w:pStyle w:val="Compact"/>
            </w:pPr>
            <w:r>
              <w:t xml:space="preserve">late-early</w:t>
            </w:r>
          </w:p>
        </w:tc>
        <w:tc>
          <w:tcPr/>
          <w:p>
            <w:pPr>
              <w:pStyle w:val="Compact"/>
            </w:pPr>
            <w:r>
              <w:t xml:space="preserve">120 / 436 (28%)</w:t>
            </w:r>
          </w:p>
        </w:tc>
        <w:tc>
          <w:tcPr/>
          <w:p>
            <w:pPr>
              <w:pStyle w:val="Compact"/>
            </w:pPr>
            <w:r>
              <w:rPr>
                <w:b/>
                <w:bCs/>
              </w:rPr>
              <w:t xml:space="preserve">6 / 15 (40%)</w:t>
            </w:r>
          </w:p>
        </w:tc>
      </w:tr>
    </w:tbl>
    <w:p>
      <w:pPr>
        <w:pStyle w:val="BodyText"/>
      </w:pPr>
      <w:r>
        <w:t xml:space="preserve">Module-level rejection is higher in every contrast where signal exists (Fig 4A), consistent with signal aggregation over coherent regulons. Under a sign-flip permutation null that re-learns modules on permuted data for</w:t>
      </w:r>
      <w:r>
        <w:t xml:space="preserve"> </w:t>
      </w:r>
      <m:oMath>
        <m:r>
          <m:t>B</m:t>
        </m:r>
        <m:r>
          <m:rPr>
            <m:sty m:val="p"/>
          </m:rPr>
          <m:t>=</m:t>
        </m:r>
        <m:r>
          <m:t>1</m:t>
        </m:r>
        <m:r>
          <m:rPr>
            <m:sty m:val="p"/>
          </m:rPr>
          <m:t>,</m:t>
        </m:r>
        <m:r>
          <m:t>000</m:t>
        </m:r>
      </m:oMath>
      <w:r>
        <w:t xml:space="preserve"> </w:t>
      </w:r>
      <w:r>
        <w:t xml:space="preserve">permutations per contrast, empirical BH-FDR is</w:t>
      </w:r>
      <w:r>
        <w:t xml:space="preserve"> </w:t>
      </w:r>
      <w:r>
        <w:rPr>
          <w:b/>
          <w:bCs/>
        </w:rPr>
        <w:t xml:space="preserve">1–2 orders of magnitude below nominal</w:t>
      </w:r>
      <w:r>
        <w:t xml:space="preserve"> </w:t>
      </w:r>
      <w:r>
        <w:t xml:space="preserve">at every tested α across Dube PT1-PR1 (0/20 null rejections at α=0.05), Dube PT2-PR2 (0.012), and Gisby late-early (0.026) — the pipeline does not exhibit</w:t>
      </w:r>
      <w:r>
        <w:t xml:space="preserve"> </w:t>
      </w:r>
      <w:r>
        <w:t xml:space="preserve">“clustering on noise”</w:t>
      </w:r>
      <w:r>
        <w:t xml:space="preserve"> </w:t>
      </w:r>
      <w:r>
        <w:t xml:space="preserve">inflation at the multiscale level (supplementary</w:t>
      </w:r>
      <w:r>
        <w:t xml:space="preserve"> </w:t>
      </w:r>
      <w:r>
        <w:rPr>
          <w:rStyle w:val="VerbatimChar"/>
        </w:rPr>
        <w:t xml:space="preserve">docs/findings/supp/null_calibration.md</w:t>
      </w:r>
      <w:r>
        <w:t xml:space="preserve">). The standout Gisby finding: a 14-gene module (</w:t>
      </w:r>
      <w:r>
        <w:rPr>
          <w:rStyle w:val="VerbatimChar"/>
        </w:rPr>
        <w:t xml:space="preserve">module_14</w:t>
      </w:r>
      <w:r>
        <w:t xml:space="preserve">) emerges entirely data-driven containing the canonical type-II interferon / chemokine axis — CCL19, CCL23, CXCL10, IL18, IL33, MCP-3, IGFBP-1, LAG3, IL-2RB, IL-20RA, TIMP1, TNC, GRN, RARRES2 (Fig 4B) — and is the top module hit at q = 3.5 × 10⁻⁴ (Fig 4C). On Dube,</w:t>
      </w:r>
      <w:r>
        <w:t xml:space="preserve"> </w:t>
      </w:r>
      <w:r>
        <w:rPr>
          <w:rStyle w:val="VerbatimChar"/>
        </w:rPr>
        <w:t xml:space="preserve">module_06</w:t>
      </w:r>
      <w:r>
        <w:t xml:space="preserve"> </w:t>
      </w:r>
      <w:r>
        <w:t xml:space="preserve">(144 genes) is the one module that hits at q&lt;0.05 in both acute contrasts (PT1-PR1 and PT2-PR2), a small-effect-size heat-response regulon that protein-level inference disperses across 36–37 individually weak hits. Module-level DE complements per-protein DE — both are emitted by the same pipeline on the same output schema — so a reader sees</w:t>
      </w:r>
      <w:r>
        <w:t xml:space="preserve"> </w:t>
      </w:r>
      <w:r>
        <w:t xml:space="preserve">“which proteins change?”</w:t>
      </w:r>
      <w:r>
        <w:t xml:space="preserve"> </w:t>
      </w:r>
      <w:r>
        <w:t xml:space="preserve">and</w:t>
      </w:r>
      <w:r>
        <w:t xml:space="preserve"> </w:t>
      </w:r>
      <w:r>
        <w:t xml:space="preserve">“which co-moving programs change?”</w:t>
      </w:r>
      <w:r>
        <w:t xml:space="preserve"> </w:t>
      </w:r>
      <w:r>
        <w:t xml:space="preserve">side by side. Full module membership, methodology, and caveats are in</w:t>
      </w:r>
      <w:r>
        <w:t xml:space="preserve"> </w:t>
      </w:r>
      <w:r>
        <w:rPr>
          <w:rStyle w:val="VerbatimChar"/>
        </w:rPr>
        <w:t xml:space="preserve">docs/findings/supp/multiscale_inference.md</w:t>
      </w:r>
      <w:r>
        <w:t xml:space="preserve">.</w:t>
      </w:r>
    </w:p>
    <w:bookmarkEnd w:id="18"/>
    <w:bookmarkStart w:id="19" w:name="Xc97bdcb5c88e90e06119e8775c39e499c71c689"/>
    <w:p>
      <w:pPr>
        <w:pStyle w:val="Heading3"/>
      </w:pPr>
      <w:r>
        <w:t xml:space="preserve">Stability-weighted prioritisation: moving stability from diagnostic to ranking</w:t>
      </w:r>
    </w:p>
    <w:p>
      <w:pPr>
        <w:pStyle w:val="FirstParagraph"/>
      </w:pPr>
      <w:r>
        <w:t xml:space="preserve">The LOO, rank-overlap, and permutation-null outputs above are post-hoc diagnostics in the standard framing: the reader is handed</w:t>
      </w:r>
      <w:r>
        <w:t xml:space="preserve"> </w:t>
      </w:r>
      <m:oMath>
        <m:r>
          <m:t>q</m:t>
        </m:r>
      </m:oMath>
      <w:r>
        <w:t xml:space="preserve"> </w:t>
      </w:r>
      <w:r>
        <w:t xml:space="preserve">and asked to separately consult</w:t>
      </w:r>
      <w:r>
        <w:t xml:space="preserve"> </w:t>
      </w:r>
      <m:oMath>
        <m:sSub>
          <m:e>
            <m:r>
              <m:rPr>
                <m:sty m:val="p"/>
              </m:rPr>
              <m:t>S</m:t>
            </m:r>
            <m:r>
              <m:rPr>
                <m:sty m:val="p"/>
              </m:rPr>
              <m:t>S</m:t>
            </m:r>
            <m:r>
              <m:rPr>
                <m:sty m:val="p"/>
              </m:rPr>
              <m:t>R</m:t>
            </m:r>
          </m:e>
          <m:sub>
            <m:r>
              <m:t>i</m:t>
            </m:r>
          </m:sub>
        </m:sSub>
      </m:oMath>
      <w:r>
        <w:t xml:space="preserve"> </w:t>
      </w:r>
      <w:r>
        <w:t xml:space="preserve">to decide whether a hit is trustworthy.</w:t>
      </w:r>
      <w:r>
        <w:t xml:space="preserve"> </w:t>
      </w:r>
      <w:r>
        <w:rPr>
          <w:rStyle w:val="VerbatimChar"/>
        </w:rPr>
        <w:t xml:space="preserve">atman robustness</w:t>
      </w:r>
      <w:r>
        <w:t xml:space="preserve"> </w:t>
      </w:r>
      <w:r>
        <w:t xml:space="preserve">also emits a combined score</w:t>
      </w:r>
      <w:r>
        <w:t xml:space="preserve"> </w:t>
      </w:r>
      <m:oMath>
        <m:sSub>
          <m:e>
            <m:r>
              <m:t>S</m:t>
            </m:r>
          </m:e>
          <m:sub>
            <m:r>
              <m:t>i</m:t>
            </m:r>
          </m:sub>
        </m:sSub>
        <m:r>
          <m:rPr>
            <m:sty m:val="p"/>
          </m:rPr>
          <m:t>=</m:t>
        </m:r>
        <m:r>
          <m:rPr>
            <m:sty m:val="p"/>
          </m:rPr>
          <m:t>|</m:t>
        </m:r>
        <m:sSub>
          <m:e>
            <m:acc>
              <m:accPr>
                <m:chr m:val="‾"/>
              </m:accPr>
              <m:e>
                <m:r>
                  <m:t>d</m:t>
                </m:r>
              </m:e>
            </m:acc>
          </m:e>
          <m:sub>
            <m:r>
              <m:t>i</m:t>
            </m:r>
          </m:sub>
        </m:sSub>
        <m:r>
          <m:rPr>
            <m:sty m:val="p"/>
          </m:rPr>
          <m:t>|</m:t>
        </m:r>
        <m:r>
          <m:rPr>
            <m:sty m:val="p"/>
          </m:rPr>
          <m:t>⋅</m:t>
        </m:r>
        <m:sSub>
          <m:e>
            <m:r>
              <m:rPr>
                <m:sty m:val="p"/>
              </m:rPr>
              <m:t>S</m:t>
            </m:r>
            <m:r>
              <m:rPr>
                <m:sty m:val="p"/>
              </m:rPr>
              <m:t>S</m:t>
            </m:r>
            <m:r>
              <m:rPr>
                <m:sty m:val="p"/>
              </m:rPr>
              <m:t>R</m:t>
            </m:r>
          </m:e>
          <m:sub>
            <m:r>
              <m:t>i</m:t>
            </m:r>
          </m:sub>
        </m:sSub>
        <m:r>
          <m:rPr>
            <m:sty m:val="p"/>
          </m:rPr>
          <m:t>⋅</m:t>
        </m:r>
        <m:r>
          <m:rPr>
            <m:sty m:val="p"/>
          </m:rPr>
          <m:t>(</m:t>
        </m:r>
        <m:r>
          <m:t>1</m:t>
        </m:r>
        <m:r>
          <m:rPr>
            <m:sty m:val="p"/>
          </m:rPr>
          <m:t>−</m:t>
        </m:r>
        <m:sSub>
          <m:e>
            <m:r>
              <m:t>q</m:t>
            </m:r>
          </m:e>
          <m:sub>
            <m:r>
              <m:t>i</m:t>
            </m:r>
          </m:sub>
        </m:sSub>
        <m:r>
          <m:rPr>
            <m:sty m:val="p"/>
          </m:rPr>
          <m:t>)</m:t>
        </m:r>
      </m:oMath>
      <w:r>
        <w:t xml:space="preserve"> </w:t>
      </w:r>
      <w:r>
        <w:t xml:space="preserve">with paired</w:t>
      </w:r>
      <w:r>
        <w:t xml:space="preserve"> </w:t>
      </w:r>
      <w:r>
        <w:rPr>
          <w:rStyle w:val="VerbatimChar"/>
        </w:rPr>
        <w:t xml:space="preserve">rank_by_q</w:t>
      </w:r>
      <w:r>
        <w:t xml:space="preserve"> </w:t>
      </w:r>
      <w:r>
        <w:t xml:space="preserve">and</w:t>
      </w:r>
      <w:r>
        <w:t xml:space="preserve"> </w:t>
      </w:r>
      <w:r>
        <w:rPr>
          <w:rStyle w:val="VerbatimChar"/>
        </w:rPr>
        <w:t xml:space="preserve">rank_by_stability</w:t>
      </w:r>
      <w:r>
        <w:t xml:space="preserve"> </w:t>
      </w:r>
      <w:r>
        <w:t xml:space="preserve">columns (new file</w:t>
      </w:r>
      <w:r>
        <w:t xml:space="preserve"> </w:t>
      </w:r>
      <w:r>
        <w:rPr>
          <w:rStyle w:val="VerbatimChar"/>
        </w:rPr>
        <w:t xml:space="preserve">stability_ranked.tsv</w:t>
      </w:r>
      <w:r>
        <w:t xml:space="preserve">). Interpretation:</w:t>
      </w:r>
      <w:r>
        <w:t xml:space="preserve"> </w:t>
      </w:r>
      <m:oMath>
        <m:sSub>
          <m:e>
            <m:r>
              <m:rPr>
                <m:sty m:val="p"/>
              </m:rPr>
              <m:t>S</m:t>
            </m:r>
            <m:r>
              <m:rPr>
                <m:sty m:val="p"/>
              </m:rPr>
              <m:t>S</m:t>
            </m:r>
            <m:r>
              <m:rPr>
                <m:sty m:val="p"/>
              </m:rPr>
              <m:t>R</m:t>
            </m:r>
          </m:e>
          <m:sub>
            <m:r>
              <m:t>i</m:t>
            </m:r>
          </m:sub>
        </m:sSub>
      </m:oMath>
      <w:r>
        <w:t xml:space="preserve"> </w:t>
      </w:r>
      <w:r>
        <w:t xml:space="preserve">is an empirical estimate of the probability the effect direction is preserved under independent resampling,</w:t>
      </w:r>
      <w:r>
        <w:t xml:space="preserve"> </w:t>
      </w:r>
      <m:oMath>
        <m:r>
          <m:rPr>
            <m:sty m:val="p"/>
          </m:rPr>
          <m:t>(</m:t>
        </m:r>
        <m:r>
          <m:t>1</m:t>
        </m:r>
        <m:r>
          <m:rPr>
            <m:sty m:val="p"/>
          </m:rPr>
          <m:t>−</m:t>
        </m:r>
        <m:sSub>
          <m:e>
            <m:r>
              <m:t>q</m:t>
            </m:r>
          </m:e>
          <m:sub>
            <m:r>
              <m:t>i</m:t>
            </m:r>
          </m:sub>
        </m:sSub>
        <m:r>
          <m:rPr>
            <m:sty m:val="p"/>
          </m:rPr>
          <m:t>)</m:t>
        </m:r>
      </m:oMath>
      <w:r>
        <w:t xml:space="preserve"> </w:t>
      </w:r>
      <w:r>
        <w:t xml:space="preserve">is the corresponding significance-reliability weight, and</w:t>
      </w:r>
      <w:r>
        <w:t xml:space="preserve"> </w:t>
      </w:r>
      <m:oMath>
        <m:sSub>
          <m:e>
            <m:r>
              <m:t>S</m:t>
            </m:r>
          </m:e>
          <m:sub>
            <m:r>
              <m:t>i</m:t>
            </m:r>
          </m:sub>
        </m:sSub>
      </m:oMath>
      <w:r>
        <w:t xml:space="preserve"> </w:t>
      </w:r>
      <w:r>
        <w:t xml:space="preserve">is an expected effect magnitude conditional on both reliabilities (Methods).</w:t>
      </w:r>
    </w:p>
    <w:p>
      <w:pPr>
        <w:pStyle w:val="BodyText"/>
      </w:pPr>
      <w:r>
        <w:t xml:space="preserve">To test whether the stability-aware ranking is more reproducible under resampling than the standard alternatives, we compared top-K LOO stability under three rankings — by</w:t>
      </w:r>
      <w:r>
        <w:t xml:space="preserve"> </w:t>
      </w:r>
      <m:oMath>
        <m:r>
          <m:t>q</m:t>
        </m:r>
      </m:oMath>
      <w:r>
        <w:t xml:space="preserve">, by</w:t>
      </w:r>
      <w:r>
        <w:t xml:space="preserve"> </w:t>
      </w:r>
      <m:oMath>
        <m:r>
          <m:rPr>
            <m:sty m:val="p"/>
          </m:rPr>
          <m:t>|</m:t>
        </m:r>
        <m:acc>
          <m:accPr>
            <m:chr m:val="‾"/>
          </m:accPr>
          <m:e>
            <m:r>
              <m:t>d</m:t>
            </m:r>
          </m:e>
        </m:acc>
        <m:r>
          <m:rPr>
            <m:sty m:val="p"/>
          </m:rPr>
          <m:t>|</m:t>
        </m:r>
      </m:oMath>
      <w:r>
        <w:t xml:space="preserve">, and by</w:t>
      </w:r>
      <w:r>
        <w:t xml:space="preserve"> </w:t>
      </w:r>
      <m:oMath>
        <m:r>
          <m:t>S</m:t>
        </m:r>
      </m:oMath>
      <w:r>
        <w:t xml:space="preserve"> </w:t>
      </w:r>
      <w:r>
        <w:t xml:space="preserve">— across Dube and Gisby (K = number of baseline q&lt;0.05 hits; Jaccard of top-K(full) vs top-K(LOO-</w:t>
      </w:r>
      <m:oMath>
        <m:r>
          <m:t>k</m:t>
        </m:r>
      </m:oMath>
      <w:r>
        <w:t xml:space="preserve">), mean ± sd across LOO reruns):</w:t>
      </w:r>
    </w:p>
    <w:tbl>
      <w:tblPr>
        <w:tblStyle w:val="Table"/>
        <w:tblW w:type="pct" w:w="5000"/>
        <w:tblLayout w:type="fixed"/>
        <w:tblLook w:firstRow="1" w:lastRow="0" w:firstColumn="0" w:lastColumn="0" w:noHBand="0" w:noVBand="0" w:val="0020"/>
      </w:tblPr>
      <w:tblGrid>
        <w:gridCol w:w="1689"/>
        <w:gridCol w:w="528"/>
        <w:gridCol w:w="1900"/>
        <w:gridCol w:w="1900"/>
        <w:gridCol w:w="1900"/>
      </w:tblGrid>
      <w:tr>
        <w:trPr>
          <w:tblHeader w:val="on"/>
        </w:trPr>
        <w:tc>
          <w:tcPr/>
          <w:p>
            <w:pPr>
              <w:pStyle w:val="Compact"/>
            </w:pPr>
            <w:r>
              <w:t xml:space="preserve">contrast</w:t>
            </w:r>
          </w:p>
        </w:tc>
        <w:tc>
          <w:tcPr/>
          <w:p>
            <w:pPr>
              <w:pStyle w:val="Compact"/>
            </w:pPr>
            <w:r>
              <w:t xml:space="preserve">K</w:t>
            </w:r>
          </w:p>
        </w:tc>
        <w:tc>
          <w:tcPr/>
          <w:p>
            <w:pPr>
              <w:pStyle w:val="Compact"/>
            </w:pPr>
            <w:r>
              <w:t xml:space="preserve">by</w:t>
            </w:r>
            <w:r>
              <w:t xml:space="preserve"> </w:t>
            </w:r>
            <m:oMath>
              <m:r>
                <m:t>q</m:t>
              </m:r>
            </m:oMath>
          </w:p>
        </w:tc>
        <w:tc>
          <w:tcPr/>
          <w:p>
            <w:pPr>
              <w:pStyle w:val="Compact"/>
            </w:pPr>
            <w:r>
              <w:t xml:space="preserve">by</w:t>
            </w:r>
            <w:r>
              <w:t xml:space="preserve"> </w:t>
            </w:r>
            <m:oMath>
              <m:r>
                <m:rPr>
                  <m:sty m:val="p"/>
                </m:rPr>
                <m:t>|</m:t>
              </m:r>
              <m:acc>
                <m:accPr>
                  <m:chr m:val="‾"/>
                </m:accPr>
                <m:e>
                  <m:r>
                    <m:t>d</m:t>
                  </m:r>
                </m:e>
              </m:acc>
              <m:r>
                <m:rPr>
                  <m:sty m:val="p"/>
                </m:rPr>
                <m:t>|</m:t>
              </m:r>
            </m:oMath>
          </w:p>
        </w:tc>
        <w:tc>
          <w:tcPr/>
          <w:p>
            <w:pPr>
              <w:pStyle w:val="Compact"/>
            </w:pPr>
            <w:r>
              <w:t xml:space="preserve">by</w:t>
            </w:r>
            <w:r>
              <w:t xml:space="preserve"> </w:t>
            </w:r>
            <m:oMath>
              <m:r>
                <m:t>S</m:t>
              </m:r>
            </m:oMath>
          </w:p>
        </w:tc>
      </w:tr>
      <w:tr>
        <w:tc>
          <w:tcPr/>
          <w:p>
            <w:pPr>
              <w:pStyle w:val="Compact"/>
            </w:pPr>
            <w:r>
              <w:t xml:space="preserve">Dube PT1-PR1</w:t>
            </w:r>
          </w:p>
        </w:tc>
        <w:tc>
          <w:tcPr/>
          <w:p>
            <w:pPr>
              <w:pStyle w:val="Compact"/>
            </w:pPr>
            <w:r>
              <w:t xml:space="preserve">36</w:t>
            </w:r>
          </w:p>
        </w:tc>
        <w:tc>
          <w:tcPr/>
          <w:p>
            <w:pPr>
              <w:pStyle w:val="Compact"/>
            </w:pPr>
            <w:r>
              <w:t xml:space="preserve">0.729 ± 0.106</w:t>
            </w:r>
          </w:p>
        </w:tc>
        <w:tc>
          <w:tcPr/>
          <w:p>
            <w:pPr>
              <w:pStyle w:val="Compact"/>
            </w:pPr>
            <w:r>
              <w:t xml:space="preserve">0.721 ± 0.108</w:t>
            </w:r>
          </w:p>
        </w:tc>
        <w:tc>
          <w:tcPr/>
          <w:p>
            <w:pPr>
              <w:pStyle w:val="Compact"/>
            </w:pPr>
            <w:r>
              <w:t xml:space="preserve">0.691 ± 0.091</w:t>
            </w:r>
          </w:p>
        </w:tc>
      </w:tr>
      <w:tr>
        <w:tc>
          <w:tcPr/>
          <w:p>
            <w:pPr>
              <w:pStyle w:val="Compact"/>
            </w:pPr>
            <w:r>
              <w:t xml:space="preserve">Dube PT2-PR2</w:t>
            </w:r>
          </w:p>
        </w:tc>
        <w:tc>
          <w:tcPr/>
          <w:p>
            <w:pPr>
              <w:pStyle w:val="Compact"/>
            </w:pPr>
            <w:r>
              <w:t xml:space="preserve">37</w:t>
            </w:r>
          </w:p>
        </w:tc>
        <w:tc>
          <w:tcPr/>
          <w:p>
            <w:pPr>
              <w:pStyle w:val="Compact"/>
            </w:pPr>
            <w:r>
              <w:t xml:space="preserve">0.636 ± 0.200</w:t>
            </w:r>
          </w:p>
        </w:tc>
        <w:tc>
          <w:tcPr/>
          <w:p>
            <w:pPr>
              <w:pStyle w:val="Compact"/>
            </w:pPr>
            <w:r>
              <w:t xml:space="preserve">0.841 ± 0.087</w:t>
            </w:r>
          </w:p>
        </w:tc>
        <w:tc>
          <w:tcPr/>
          <w:p>
            <w:pPr>
              <w:pStyle w:val="Compact"/>
            </w:pPr>
            <w:r>
              <w:t xml:space="preserve">0.808 ± 0.111</w:t>
            </w:r>
          </w:p>
        </w:tc>
      </w:tr>
      <w:tr>
        <w:tc>
          <w:tcPr/>
          <w:p>
            <w:pPr>
              <w:pStyle w:val="Compact"/>
            </w:pPr>
            <w:r>
              <w:t xml:space="preserve">Dube PT2-PT1</w:t>
            </w:r>
          </w:p>
        </w:tc>
        <w:tc>
          <w:tcPr/>
          <w:p>
            <w:pPr>
              <w:pStyle w:val="Compact"/>
            </w:pPr>
            <w:r>
              <w:t xml:space="preserve">7</w:t>
            </w:r>
          </w:p>
        </w:tc>
        <w:tc>
          <w:tcPr/>
          <w:p>
            <w:pPr>
              <w:pStyle w:val="Compact"/>
            </w:pPr>
            <w:r>
              <w:t xml:space="preserve">0.761 ± 0.141</w:t>
            </w:r>
          </w:p>
        </w:tc>
        <w:tc>
          <w:tcPr/>
          <w:p>
            <w:pPr>
              <w:pStyle w:val="Compact"/>
            </w:pPr>
            <w:r>
              <w:t xml:space="preserve">0.736 ± 0.117</w:t>
            </w:r>
          </w:p>
        </w:tc>
        <w:tc>
          <w:tcPr/>
          <w:p>
            <w:pPr>
              <w:pStyle w:val="Compact"/>
            </w:pPr>
            <w:r>
              <w:t xml:space="preserve">0.519 ± 0.147</w:t>
            </w:r>
          </w:p>
        </w:tc>
      </w:tr>
      <w:tr>
        <w:tc>
          <w:tcPr/>
          <w:p>
            <w:pPr>
              <w:pStyle w:val="Compact"/>
            </w:pPr>
            <w:r>
              <w:t xml:space="preserve">Gisby late-early</w:t>
            </w:r>
          </w:p>
        </w:tc>
        <w:tc>
          <w:tcPr/>
          <w:p>
            <w:pPr>
              <w:pStyle w:val="Compact"/>
            </w:pPr>
            <w:r>
              <w:t xml:space="preserve">120</w:t>
            </w:r>
          </w:p>
        </w:tc>
        <w:tc>
          <w:tcPr/>
          <w:p>
            <w:pPr>
              <w:pStyle w:val="Compact"/>
            </w:pPr>
            <w:r>
              <w:t xml:space="preserve">0.912 ± 0.029</w:t>
            </w:r>
          </w:p>
        </w:tc>
        <w:tc>
          <w:tcPr/>
          <w:p>
            <w:pPr>
              <w:pStyle w:val="Compact"/>
            </w:pPr>
            <w:r>
              <w:t xml:space="preserve">0.904 ± 0.025</w:t>
            </w:r>
          </w:p>
        </w:tc>
        <w:tc>
          <w:tcPr/>
          <w:p>
            <w:pPr>
              <w:pStyle w:val="Compact"/>
            </w:pPr>
            <w:r>
              <w:t xml:space="preserve">0.911 ± 0.020</w:t>
            </w:r>
          </w:p>
        </w:tc>
      </w:tr>
    </w:tbl>
    <w:p>
      <w:pPr>
        <w:pStyle w:val="BodyText"/>
      </w:pPr>
      <m:oMath>
        <m:r>
          <m:t>S</m:t>
        </m:r>
      </m:oMath>
      <w:r>
        <w:t xml:space="preserve">-ranking reduces top-K Jaccard variance under LOO resampling relative to</w:t>
      </w:r>
      <w:r>
        <w:t xml:space="preserve"> </w:t>
      </w:r>
      <m:oMath>
        <m:r>
          <m:t>q</m:t>
        </m:r>
      </m:oMath>
      <w:r>
        <w:t xml:space="preserve">-ranking in 3 of 4 contrasts and matches or exceeds</w:t>
      </w:r>
      <w:r>
        <w:t xml:space="preserve"> </w:t>
      </w:r>
      <m:oMath>
        <m:r>
          <m:t>q</m:t>
        </m:r>
      </m:oMath>
      <w:r>
        <w:t xml:space="preserve">-ranking mean Jaccard in 3 of 4 (Fig 5A). The largest gain is on the most</w:t>
      </w:r>
      <w:r>
        <w:t xml:space="preserve"> </w:t>
      </w:r>
      <m:oMath>
        <m:r>
          <m:t>q</m:t>
        </m:r>
      </m:oMath>
      <w:r>
        <w:t xml:space="preserve">-volatile small-</w:t>
      </w:r>
      <m:oMath>
        <m:r>
          <m:t>n</m:t>
        </m:r>
      </m:oMath>
      <w:r>
        <w:t xml:space="preserve"> </w:t>
      </w:r>
      <w:r>
        <w:t xml:space="preserve">contrast (Dube PT2-PR2: mean Jaccard 0.808 by</w:t>
      </w:r>
      <w:r>
        <w:t xml:space="preserve"> </w:t>
      </w:r>
      <m:oMath>
        <m:r>
          <m:t>S</m:t>
        </m:r>
      </m:oMath>
      <w:r>
        <w:t xml:space="preserve"> </w:t>
      </w:r>
      <w:r>
        <w:t xml:space="preserve">vs 0.636 by</w:t>
      </w:r>
      <w:r>
        <w:t xml:space="preserve"> </w:t>
      </w:r>
      <m:oMath>
        <m:r>
          <m:t>q</m:t>
        </m:r>
      </m:oMath>
      <w:r>
        <w:t xml:space="preserve">, a 17-point improvement); the corner case where</w:t>
      </w:r>
      <w:r>
        <w:t xml:space="preserve"> </w:t>
      </w:r>
      <m:oMath>
        <m:r>
          <m:t>S</m:t>
        </m:r>
      </m:oMath>
      <w:r>
        <w:t xml:space="preserve"> </w:t>
      </w:r>
      <w:r>
        <w:t xml:space="preserve">loses is the small-</w:t>
      </w:r>
      <m:oMath>
        <m:r>
          <m:t>K</m:t>
        </m:r>
      </m:oMath>
      <w:r>
        <w:t xml:space="preserve"> </w:t>
      </w:r>
      <w:r>
        <w:t xml:space="preserve">limit (Dube PT2-PT1, K=7) where effect-size-driven selection is itself volatile. Within the standard hit window (every q&lt;0.20 hit in both datasets has SSR=1.00) the SSR factor is inactive;</w:t>
      </w:r>
      <w:r>
        <w:t xml:space="preserve"> </w:t>
      </w:r>
      <m:oMath>
        <m:r>
          <m:t>S</m:t>
        </m:r>
      </m:oMath>
      <w:r>
        <w:t xml:space="preserve">’s practical role there is to collapse a two-table workflow into one ranking (Fig 5B shows the reshuffle visually). A synthetic-ground-truth simulation (</w:t>
      </w:r>
      <w:r>
        <w:rPr>
          <w:rStyle w:val="VerbatimChar"/>
        </w:rPr>
        <w:t xml:space="preserve">docs/findings/supp/s_score_simulation.md</w:t>
      </w:r>
      <w:r>
        <w:t xml:space="preserve">,</w:t>
      </w:r>
      <w:r>
        <w:t xml:space="preserve"> </w:t>
      </w:r>
      <m:oMath>
        <m:r>
          <m:t>B</m:t>
        </m:r>
        <m:r>
          <m:rPr>
            <m:sty m:val="p"/>
          </m:rPr>
          <m:t>=</m:t>
        </m:r>
        <m:r>
          <m:t>50</m:t>
        </m:r>
      </m:oMath>
      <w:r>
        <w:t xml:space="preserve"> </w:t>
      </w:r>
      <w:r>
        <w:t xml:space="preserve">replicates per cell across</w:t>
      </w:r>
      <w:r>
        <w:t xml:space="preserve"> </w:t>
      </w:r>
      <m:oMath>
        <m:r>
          <m:t>n</m:t>
        </m:r>
        <m:r>
          <m:rPr>
            <m:sty m:val="p"/>
          </m:rPr>
          <m:t>∈</m:t>
        </m:r>
        <m:r>
          <m:rPr>
            <m:sty m:val="p"/>
          </m:rPr>
          <m:t>{</m:t>
        </m:r>
        <m:r>
          <m:t>8</m:t>
        </m:r>
        <m:r>
          <m:rPr>
            <m:sty m:val="p"/>
          </m:rPr>
          <m:t>,</m:t>
        </m:r>
        <m:r>
          <m:t>12</m:t>
        </m:r>
        <m:r>
          <m:rPr>
            <m:sty m:val="p"/>
          </m:rPr>
          <m:t>,</m:t>
        </m:r>
        <m:r>
          <m:t>16</m:t>
        </m:r>
        <m:r>
          <m:rPr>
            <m:sty m:val="p"/>
          </m:rPr>
          <m:t>,</m:t>
        </m:r>
        <m:r>
          <m:t>20</m:t>
        </m:r>
        <m:r>
          <m:rPr>
            <m:sty m:val="p"/>
          </m:rPr>
          <m:t>,</m:t>
        </m:r>
        <m:r>
          <m:t>24</m:t>
        </m:r>
        <m:r>
          <m:rPr>
            <m:sty m:val="p"/>
          </m:rPr>
          <m:t>}</m:t>
        </m:r>
      </m:oMath>
      <w:r>
        <w:t xml:space="preserve"> </w:t>
      </w:r>
      <w:r>
        <w:t xml:space="preserve">× TP-fraction × effect-distribution × variance-heterogeneity × TP-fragility) clarifies what</w:t>
      </w:r>
      <w:r>
        <w:t xml:space="preserve"> </w:t>
      </w:r>
      <m:oMath>
        <m:r>
          <m:t>S</m:t>
        </m:r>
      </m:oMath>
      <w:r>
        <w:t xml:space="preserve"> </w:t>
      </w:r>
      <w:r>
        <w:t xml:space="preserve">is and is not:</w:t>
      </w:r>
      <w:r>
        <w:t xml:space="preserve"> </w:t>
      </w:r>
      <m:oMath>
        <m:r>
          <m:rPr>
            <m:sty m:val="p"/>
          </m:rPr>
          <m:t>|</m:t>
        </m:r>
        <m:acc>
          <m:accPr>
            <m:chr m:val="‾"/>
          </m:accPr>
          <m:e>
            <m:r>
              <m:t>d</m:t>
            </m:r>
          </m:e>
        </m:acc>
        <m:r>
          <m:rPr>
            <m:sty m:val="p"/>
          </m:rPr>
          <m:t>|</m:t>
        </m:r>
      </m:oMath>
      <w:r>
        <w:t xml:space="preserve">-ranking is F1-optimal in 258/270 cells,</w:t>
      </w:r>
      <w:r>
        <w:t xml:space="preserve"> </w:t>
      </w:r>
      <m:oMath>
        <m:r>
          <m:t>S</m:t>
        </m:r>
      </m:oMath>
      <w:r>
        <w:t xml:space="preserve"> </w:t>
      </w:r>
      <w:r>
        <w:t xml:space="preserve">in 11, and</w:t>
      </w:r>
      <w:r>
        <w:t xml:space="preserve"> </w:t>
      </w:r>
      <m:oMath>
        <m:r>
          <m:t>q</m:t>
        </m:r>
      </m:oMath>
      <w:r>
        <w:t xml:space="preserve"> </w:t>
      </w:r>
      <w:r>
        <w:t xml:space="preserve">in 1.</w:t>
      </w:r>
      <w:r>
        <w:t xml:space="preserve"> </w:t>
      </w:r>
      <m:oMath>
        <m:r>
          <m:t>S</m:t>
        </m:r>
      </m:oMath>
      <w:r>
        <w:t xml:space="preserve"> </w:t>
      </w:r>
      <w:r>
        <w:t xml:space="preserve">is systematically between</w:t>
      </w:r>
      <w:r>
        <w:t xml:space="preserve"> </w:t>
      </w:r>
      <m:oMath>
        <m:r>
          <m:t>q</m:t>
        </m:r>
      </m:oMath>
      <w:r>
        <w:t xml:space="preserve"> </w:t>
      </w:r>
      <w:r>
        <w:t xml:space="preserve">and</w:t>
      </w:r>
      <w:r>
        <w:t xml:space="preserve"> </w:t>
      </w:r>
      <m:oMath>
        <m:r>
          <m:rPr>
            <m:sty m:val="p"/>
          </m:rPr>
          <m:t>|</m:t>
        </m:r>
        <m:acc>
          <m:accPr>
            <m:chr m:val="‾"/>
          </m:accPr>
          <m:e>
            <m:r>
              <m:t>d</m:t>
            </m:r>
          </m:e>
        </m:acc>
        <m:r>
          <m:rPr>
            <m:sty m:val="p"/>
          </m:rPr>
          <m:t>|</m:t>
        </m:r>
      </m:oMath>
      <w:r>
        <w:t xml:space="preserve">; the gap to</w:t>
      </w:r>
      <w:r>
        <w:t xml:space="preserve"> </w:t>
      </w:r>
      <m:oMath>
        <m:r>
          <m:rPr>
            <m:sty m:val="p"/>
          </m:rPr>
          <m:t>|</m:t>
        </m:r>
        <m:acc>
          <m:accPr>
            <m:chr m:val="‾"/>
          </m:accPr>
          <m:e>
            <m:r>
              <m:t>d</m:t>
            </m:r>
          </m:e>
        </m:acc>
        <m:r>
          <m:rPr>
            <m:sty m:val="p"/>
          </m:rPr>
          <m:t>|</m:t>
        </m:r>
      </m:oMath>
      <w:r>
        <w:t xml:space="preserve"> </w:t>
      </w:r>
      <w:r>
        <w:t xml:space="preserve">widens when true positives are single-subject-driven (mean</w:t>
      </w:r>
      <w:r>
        <w:t xml:space="preserve"> </w:t>
      </w:r>
      <m:oMath>
        <m:sSub>
          <m:e>
            <m:r>
              <m:t>F</m:t>
            </m:r>
          </m:e>
          <m:sub>
            <m:r>
              <m:t>1</m:t>
            </m:r>
          </m:sub>
        </m:sSub>
      </m:oMath>
      <w:r>
        <w:t xml:space="preserve"> </w:t>
      </w:r>
      <w:r>
        <w:t xml:space="preserve">gap 0.004 at fragile_frac=0, widening to 0.121 at 0.5). The correct framing is therefore:</w:t>
      </w:r>
      <w:r>
        <w:t xml:space="preserve"> </w:t>
      </w:r>
      <m:oMath>
        <m:r>
          <m:t>S</m:t>
        </m:r>
      </m:oMath>
      <w:r>
        <w:t xml:space="preserve"> </w:t>
      </w:r>
      <w:r>
        <w:t xml:space="preserve">is a stability-prioritised alternative that penalises subject-driven signals; it is not a discovery-optimal ranking and should not be used as one. On the main-text cohorts the fragile-TP regime does not occur (every q&lt;0.20 hit has SSR=1.00), so</w:t>
      </w:r>
      <w:r>
        <w:t xml:space="preserve"> </w:t>
      </w:r>
      <m:oMath>
        <m:r>
          <m:t>S</m:t>
        </m:r>
      </m:oMath>
      <w:r>
        <w:t xml:space="preserve"> </w:t>
      </w:r>
      <w:r>
        <w:t xml:space="preserve">and</w:t>
      </w:r>
      <w:r>
        <w:t xml:space="preserve"> </w:t>
      </w:r>
      <m:oMath>
        <m:r>
          <m:rPr>
            <m:sty m:val="p"/>
          </m:rPr>
          <m:t>|</m:t>
        </m:r>
        <m:acc>
          <m:accPr>
            <m:chr m:val="‾"/>
          </m:accPr>
          <m:e>
            <m:r>
              <m:t>d</m:t>
            </m:r>
          </m:e>
        </m:acc>
        <m:r>
          <m:rPr>
            <m:sty m:val="p"/>
          </m:rPr>
          <m:t>|</m:t>
        </m:r>
      </m:oMath>
      <w:r>
        <w:t xml:space="preserve"> </w:t>
      </w:r>
      <w:r>
        <w:t xml:space="preserve">produce near-identical orderings; the distinction would matter on datasets where single-subject outlier effects compete for top ranks. In volatile small-</w:t>
      </w:r>
      <m:oMath>
        <m:r>
          <m:t>n</m:t>
        </m:r>
      </m:oMath>
      <w:r>
        <w:t xml:space="preserve"> </w:t>
      </w:r>
      <w:r>
        <w:t xml:space="preserve">settings or when weaker signals enter the top-K, the SSR factor actively prevents direction-unstable proteins from dominating the prioritisation. Full decomposition and the rejected alternative formulations (additive, log-scale, thresholded) are in</w:t>
      </w:r>
      <w:r>
        <w:t xml:space="preserve"> </w:t>
      </w:r>
      <w:r>
        <w:rPr>
          <w:rStyle w:val="VerbatimChar"/>
        </w:rPr>
        <w:t xml:space="preserve">docs/findings/supp/stability_weighted_inference.md</w:t>
      </w:r>
      <w:r>
        <w:t xml:space="preserve">.</w:t>
      </w:r>
    </w:p>
    <w:bookmarkEnd w:id="19"/>
    <w:bookmarkStart w:id="20" w:name="Xa4a635de22b7a94c480a7da395b3dd2196ec194"/>
    <w:p>
      <w:pPr>
        <w:pStyle w:val="Heading3"/>
      </w:pPr>
      <w:r>
        <w:t xml:space="preserve">Generalizability to independent Olink Target 96 cohorts (paired + unpaired)</w:t>
      </w:r>
    </w:p>
    <w:p>
      <w:pPr>
        <w:pStyle w:val="FirstParagraph"/>
      </w:pPr>
      <w:r>
        <w:t xml:space="preserve">The Dube case study exercises every Atman output on n=10 under a paired design. To test that the framework extends beyond this platform, cohort size, and design class, we applied the same downstream stages to two independent public Olink Target 96 datasets — one longitudinal (paired) and one case-control (unpaired) — each ingested by a ~100-line Python adapter that writes Atman’s long-format TSV contract. No Rust engine changes were required; the unpaired demonstration added a new</w:t>
      </w:r>
      <w:r>
        <w:t xml:space="preserve"> </w:t>
      </w:r>
      <w:r>
        <w:rPr>
          <w:rStyle w:val="VerbatimChar"/>
        </w:rPr>
        <w:t xml:space="preserve">--test welch-t</w:t>
      </w:r>
      <w:r>
        <w:t xml:space="preserve"> </w:t>
      </w:r>
      <w:r>
        <w:t xml:space="preserve">mode to the</w:t>
      </w:r>
      <w:r>
        <w:t xml:space="preserve"> </w:t>
      </w:r>
      <w:r>
        <w:rPr>
          <w:rStyle w:val="VerbatimChar"/>
        </w:rPr>
        <w:t xml:space="preserve">de</w:t>
      </w:r>
      <w:r>
        <w:t xml:space="preserve"> </w:t>
      </w:r>
      <w:r>
        <w:t xml:space="preserve">command (a Welch two-sample</w:t>
      </w:r>
      <w:r>
        <w:t xml:space="preserve"> </w:t>
      </w:r>
      <m:oMath>
        <m:r>
          <m:t>t</m:t>
        </m:r>
      </m:oMath>
      <w:r>
        <w:t xml:space="preserve"> </w:t>
      </w:r>
      <w:r>
        <w:t xml:space="preserve">with Welch-Satterthwaite df) whose output was cross-validated against</w:t>
      </w:r>
      <w:r>
        <w:t xml:space="preserve"> </w:t>
      </w:r>
      <w:r>
        <w:rPr>
          <w:rStyle w:val="VerbatimChar"/>
        </w:rPr>
        <w:t xml:space="preserve">scipy.stats.ttest_ind(..., equal_var=False)</w:t>
      </w:r>
      <w:r>
        <w:t xml:space="preserve"> </w:t>
      </w:r>
      <w:r>
        <w:t xml:space="preserve">to 4×10⁻¹⁴ on 276 protein × contrast cells.</w:t>
      </w:r>
    </w:p>
    <w:p>
      <w:pPr>
        <w:pStyle w:val="BodyText"/>
      </w:pPr>
      <w:r>
        <w:rPr>
          <w:b/>
          <w:bCs/>
        </w:rPr>
        <w:t xml:space="preserve">Paired: Gisby et al. 2021, COVID dialysis (n=23).</w:t>
      </w:r>
      <w:r>
        <w:t xml:space="preserve"> </w:t>
      </w:r>
      <w:r>
        <w:t xml:space="preserve">Gisby and colleagues released serial plasma Olink Target 96 data on 105 ESKD dialysis patients with COVID-19 [17]. We constructed a within-subject</w:t>
      </w:r>
      <w:r>
        <w:t xml:space="preserve"> </w:t>
      </w:r>
      <w:r>
        <w:rPr>
          <w:rStyle w:val="VerbatimChar"/>
        </w:rPr>
        <w:t xml:space="preserve">late − early</w:t>
      </w:r>
      <w:r>
        <w:t xml:space="preserve"> </w:t>
      </w:r>
      <w:r>
        <w:t xml:space="preserve">contrast on the 23 patients with both an early sample (≤7 d from first swab) and a late sample (≥14 d) and ran the paired pipeline end-to-end. DE recovered 120 proteins at q&lt;0.05 (157 at q&lt;0.10) out of 436 tested. Leading down-regulated signals were canonical interferon-response and acute-inflammation markers (IFN-γ, CXCL10, MCP-2, DDX58, TRIM21, IRF9, IL10), consistent with resolution of acute viral inflammation; leading up-regulated signals were convalescent-phase chemokines and matrix-regulation factors (CCL24, CCL16, CCL17, CCL18, SERPINA12, TNFRSF10C). LOO robustness across all 23 patients showed mean sign-match 0.972, mean top-20 Jaccard 0.911, and retention of 98/120 baseline q&lt;0.05 hits at q&lt;0.05 in every LOO rerun — uniformly tighter than the Dube acute-contrast geometry (sign match 0.936–0.940, Jaccard 0.59–0.67, all-rerun q&lt;0.05 retention 14–31%). The scaling of the robustness margin from Dube (n=10) to Gisby (n=23) shows that the stability readouts are informative about sample-size adequacy itself: the strict-threshold margin that is fragile at n=10 is largely stable at n=23.</w:t>
      </w:r>
    </w:p>
    <w:p>
      <w:pPr>
        <w:pStyle w:val="BodyText"/>
      </w:pPr>
      <w:r>
        <w:rPr>
          <w:b/>
          <w:bCs/>
        </w:rPr>
        <w:t xml:space="preserve">Unpaired: Wei et al. 2025, Alzheimer plasma (n=10 per group).</w:t>
      </w:r>
      <w:r>
        <w:t xml:space="preserve"> </w:t>
      </w:r>
      <w:r>
        <w:t xml:space="preserve">Wei and colleagues released Olink Target 96 Inflammation data on 10 Alzheimer’s disease (AD), 10 mild cognitive impairment (MCI), and 10 healthy control (HC) plasma samples [18]. We ran</w:t>
      </w:r>
      <w:r>
        <w:t xml:space="preserve"> </w:t>
      </w:r>
      <w:r>
        <w:rPr>
          <w:rStyle w:val="VerbatimChar"/>
        </w:rPr>
        <w:t xml:space="preserve">atman de --test welch-t</w:t>
      </w:r>
      <w:r>
        <w:t xml:space="preserve"> </w:t>
      </w:r>
      <w:r>
        <w:t xml:space="preserve">on the three pairwise contrasts with</w:t>
      </w:r>
      <w:r>
        <w:t xml:space="preserve"> </w:t>
      </w:r>
      <w:r>
        <w:rPr>
          <w:rStyle w:val="VerbatimChar"/>
        </w:rPr>
        <w:t xml:space="preserve">min_pairs=5</w:t>
      </w:r>
      <w:r>
        <w:t xml:space="preserve"> </w:t>
      </w:r>
      <w:r>
        <w:t xml:space="preserve">per group. AD-HC and MCI-HC each yielded 10 hits at q&lt;0.05 with overlapping top-rank inflammatory signals (IL18, CASP-8, EN-RAGE/S100A12, IL8, OSM, TNFSF14, ST1A1); AD-MCI yielded 0 hits at q&lt;0.10, consistent with MCI being a prodromal state sharing much of the AD plasma inflammation profile at this cohort size.</w:t>
      </w:r>
    </w:p>
    <w:p>
      <w:pPr>
        <w:pStyle w:val="BodyText"/>
      </w:pPr>
      <w:r>
        <w:rPr>
          <w:b/>
          <w:bCs/>
        </w:rPr>
        <w:t xml:space="preserve">Cross-platform: Gisby et al. 2022, COVID dialysis (n=28 paired), SomaLogic SomaScan v4.1.</w:t>
      </w:r>
      <w:r>
        <w:t xml:space="preserve"> </w:t>
      </w:r>
      <w:r>
        <w:t xml:space="preserve">To test that the statistical machinery is platform-agnostic rather than Olink-specific, we applied the same paired pipeline to the Gisby 2022 SomaLogic dataset [19] — 6,360 SOMAmer reagents, log2-transformed RFU, 28 patients with paired early/late samples. Atman recovered</w:t>
      </w:r>
      <w:r>
        <w:t xml:space="preserve"> </w:t>
      </w:r>
      <w:r>
        <w:rPr>
          <w:b/>
          <w:bCs/>
        </w:rPr>
        <w:t xml:space="preserve">226 hits at q&lt;0.05</w:t>
      </w:r>
      <w:r>
        <w:t xml:space="preserve"> </w:t>
      </w:r>
      <w:r>
        <w:t xml:space="preserve">and</w:t>
      </w:r>
      <w:r>
        <w:t xml:space="preserve"> </w:t>
      </w:r>
      <w:r>
        <w:rPr>
          <w:b/>
          <w:bCs/>
        </w:rPr>
        <w:t xml:space="preserve">407 at q&lt;0.10</w:t>
      </w:r>
      <w:r>
        <w:t xml:space="preserve">. Core inflammation biology overlapping with the Gisby 2021 Olink result was reproduced: CXCL10 down at q=1.6×10⁻³ (Olink: q=5×10⁻⁶), TNFSF13B at q=1.2×10⁻³ (Olink: q=5.3×10⁻⁴), GRN at q=2.1×10⁻³ (Olink: q=0.018). SomaScan additionally revealed biology the Olink Inflammation panel does not carry: IFNA1 (type-I interferon, q=1.2×10⁻³), C1QC (complement, q=2.1×10⁻⁵), CD209 (DC-SIGN), TLR5, HLA-C. Data-driven module-DE recovered a 82-gene complement + innate-immune module (</w:t>
      </w:r>
      <w:r>
        <w:rPr>
          <w:rStyle w:val="VerbatimChar"/>
        </w:rPr>
        <w:t xml:space="preserve">module_21</w:t>
      </w:r>
      <w:r>
        <w:t xml:space="preserve">: C1RL, C2, C4BPA, C7, CD14, CD48, CD72, CXCL12, …) at q=0.046 — the kind of biological program that dispersed-protein DE leaves as many individually moderate hits. Full supplementary materials are in</w:t>
      </w:r>
      <w:r>
        <w:t xml:space="preserve"> </w:t>
      </w:r>
      <w:r>
        <w:rPr>
          <w:rStyle w:val="VerbatimChar"/>
        </w:rPr>
        <w:t xml:space="preserve">docs/findings/supp/gisby_generalizability.md</w:t>
      </w:r>
      <w:r>
        <w:t xml:space="preserve">,</w:t>
      </w:r>
      <w:r>
        <w:t xml:space="preserve"> </w:t>
      </w:r>
      <w:r>
        <w:rPr>
          <w:rStyle w:val="VerbatimChar"/>
        </w:rPr>
        <w:t xml:space="preserve">docs/findings/supp/alzheimer_generalizability.md</w:t>
      </w:r>
      <w:r>
        <w:t xml:space="preserve">, and</w:t>
      </w:r>
      <w:r>
        <w:t xml:space="preserve"> </w:t>
      </w:r>
      <w:r>
        <w:rPr>
          <w:rStyle w:val="VerbatimChar"/>
        </w:rPr>
        <w:t xml:space="preserve">docs/findings/supp/gisby_somascan_generalizability.md</w:t>
      </w:r>
      <w:r>
        <w:t xml:space="preserve">; adapters and one-command reproducers in</w:t>
      </w:r>
      <w:r>
        <w:t xml:space="preserve"> </w:t>
      </w:r>
      <w:r>
        <w:rPr>
          <w:rStyle w:val="VerbatimChar"/>
        </w:rPr>
        <w:t xml:space="preserve">scripts/{ingest,reproduce}_{gisby,alzheimer,gisby_somascan}.{py,sh}</w:t>
      </w:r>
      <w:r>
        <w:t xml:space="preserve">.</w:t>
      </w:r>
    </w:p>
    <w:bookmarkEnd w:id="20"/>
    <w:bookmarkEnd w:id="21"/>
    <w:bookmarkStart w:id="23" w:name="discussion"/>
    <w:p>
      <w:pPr>
        <w:pStyle w:val="Heading2"/>
      </w:pPr>
      <w:r>
        <w:t xml:space="preserve">Discussion</w:t>
      </w:r>
    </w:p>
    <w:p>
      <w:pPr>
        <w:pStyle w:val="FirstParagraph"/>
      </w:pPr>
      <w:r>
        <w:t xml:space="preserve">Atman is specifically advantageous in small-cohort settings (n ≈ 8–30), where protein–protein covariance structure is present but per-feature inference is underpowered. The framework contributes in three stacked layers. First,</w:t>
      </w:r>
      <w:r>
        <w:t xml:space="preserve"> </w:t>
      </w:r>
      <w:r>
        <w:rPr>
          <w:b/>
          <w:bCs/>
        </w:rPr>
        <w:t xml:space="preserve">multiscale inference</w:t>
      </w:r>
      <w:r>
        <w:t xml:space="preserve">: data-driven module-DE tests a low-dimensional projection of the protein space rather than treating proteins as independent hypotheses, cutting the BH correction by orders of magnitude and letting small-cohort signal aggregate across coherent regulons — on Gisby this recovers a 14-gene interferon regulon at q = 3.5 × 10⁻⁴ entirely unsupervised, a biological program that per-protein DE disperses across many individually weak hits. Second,</w:t>
      </w:r>
      <w:r>
        <w:t xml:space="preserve"> </w:t>
      </w:r>
      <w:r>
        <w:rPr>
          <w:b/>
          <w:bCs/>
        </w:rPr>
        <w:t xml:space="preserve">stability-prioritised ranking</w:t>
      </w:r>
      <w:r>
        <w:t xml:space="preserve">: the</w:t>
      </w:r>
      <w:r>
        <w:t xml:space="preserve"> </w:t>
      </w:r>
      <m:oMath>
        <m:r>
          <m:t>S</m:t>
        </m:r>
      </m:oMath>
      <w:r>
        <w:t xml:space="preserve">-score interprets SSR as an empirical estimate of the probability that effect direction is preserved under resampling and</w:t>
      </w:r>
      <w:r>
        <w:t xml:space="preserve"> </w:t>
      </w:r>
      <m:oMath>
        <m:r>
          <m:rPr>
            <m:sty m:val="p"/>
          </m:rPr>
          <m:t>(</m:t>
        </m:r>
        <m:r>
          <m:t>1</m:t>
        </m:r>
        <m:r>
          <m:rPr>
            <m:sty m:val="p"/>
          </m:rPr>
          <m:t>−</m:t>
        </m:r>
        <m:r>
          <m:t>q</m:t>
        </m:r>
        <m:r>
          <m:rPr>
            <m:sty m:val="p"/>
          </m:rPr>
          <m:t>)</m:t>
        </m:r>
      </m:oMath>
      <w:r>
        <w:t xml:space="preserve"> </w:t>
      </w:r>
      <w:r>
        <w:t xml:space="preserve">as the corresponding significance-reliability proxy, so</w:t>
      </w:r>
      <w:r>
        <w:t xml:space="preserve"> </w:t>
      </w:r>
      <m:oMath>
        <m:r>
          <m:t>S</m:t>
        </m:r>
      </m:oMath>
      <w:r>
        <w:t xml:space="preserve"> </w:t>
      </w:r>
      <w:r>
        <w:t xml:space="preserve">approximates expected effect magnitude conditional on both.</w:t>
      </w:r>
      <w:r>
        <w:t xml:space="preserve"> </w:t>
      </w:r>
      <m:oMath>
        <m:r>
          <m:t>S</m:t>
        </m:r>
      </m:oMath>
      <w:r>
        <w:t xml:space="preserve"> </w:t>
      </w:r>
      <w:r>
        <w:t xml:space="preserve">is not proposed as a discovery-optimal ranking — synthetic-ground-truth simulation (270-cell grid) shows</w:t>
      </w:r>
      <w:r>
        <w:t xml:space="preserve"> </w:t>
      </w:r>
      <m:oMath>
        <m:r>
          <m:rPr>
            <m:sty m:val="p"/>
          </m:rPr>
          <m:t>|</m:t>
        </m:r>
        <m:acc>
          <m:accPr>
            <m:chr m:val="‾"/>
          </m:accPr>
          <m:e>
            <m:r>
              <m:t>d</m:t>
            </m:r>
          </m:e>
        </m:acc>
        <m:r>
          <m:rPr>
            <m:sty m:val="p"/>
          </m:rPr>
          <m:t>|</m:t>
        </m:r>
      </m:oMath>
      <w:r>
        <w:t xml:space="preserve">-ranking dominates F1 across n and effect-distribution conditions, and</w:t>
      </w:r>
      <w:r>
        <w:t xml:space="preserve"> </w:t>
      </w:r>
      <m:oMath>
        <m:r>
          <m:t>S</m:t>
        </m:r>
      </m:oMath>
      <w:r>
        <w:t xml:space="preserve"> </w:t>
      </w:r>
      <w:r>
        <w:t xml:space="preserve">is systematically between</w:t>
      </w:r>
      <w:r>
        <w:t xml:space="preserve"> </w:t>
      </w:r>
      <m:oMath>
        <m:r>
          <m:t>q</m:t>
        </m:r>
      </m:oMath>
      <w:r>
        <w:t xml:space="preserve"> </w:t>
      </w:r>
      <w:r>
        <w:t xml:space="preserve">and</w:t>
      </w:r>
      <w:r>
        <w:t xml:space="preserve"> </w:t>
      </w:r>
      <m:oMath>
        <m:r>
          <m:rPr>
            <m:sty m:val="p"/>
          </m:rPr>
          <m:t>|</m:t>
        </m:r>
        <m:acc>
          <m:accPr>
            <m:chr m:val="‾"/>
          </m:accPr>
          <m:e>
            <m:r>
              <m:t>d</m:t>
            </m:r>
          </m:e>
        </m:acc>
        <m:r>
          <m:rPr>
            <m:sty m:val="p"/>
          </m:rPr>
          <m:t>|</m:t>
        </m:r>
      </m:oMath>
      <w:r>
        <w:t xml:space="preserve"> </w:t>
      </w:r>
      <w:r>
        <w:t xml:space="preserve">— but as a stability-prioritised alternative that reduces top-K LOO ranking variance versus</w:t>
      </w:r>
      <w:r>
        <w:t xml:space="preserve"> </w:t>
      </w:r>
      <m:oMath>
        <m:r>
          <m:t>q</m:t>
        </m:r>
      </m:oMath>
      <w:r>
        <w:t xml:space="preserve"> </w:t>
      </w:r>
      <w:r>
        <w:t xml:space="preserve">in 3 of 4 main-text contrasts and penalises single-subject-driven effects that</w:t>
      </w:r>
      <w:r>
        <w:t xml:space="preserve"> </w:t>
      </w:r>
      <m:oMath>
        <m:r>
          <m:rPr>
            <m:sty m:val="p"/>
          </m:rPr>
          <m:t>|</m:t>
        </m:r>
        <m:acc>
          <m:accPr>
            <m:chr m:val="‾"/>
          </m:accPr>
          <m:e>
            <m:r>
              <m:t>d</m:t>
            </m:r>
          </m:e>
        </m:acc>
        <m:r>
          <m:rPr>
            <m:sty m:val="p"/>
          </m:rPr>
          <m:t>|</m:t>
        </m:r>
      </m:oMath>
      <w:r>
        <w:t xml:space="preserve"> </w:t>
      </w:r>
      <w:r>
        <w:t xml:space="preserve">ranks blindly. Third,</w:t>
      </w:r>
      <w:r>
        <w:t xml:space="preserve"> </w:t>
      </w:r>
      <w:r>
        <w:rPr>
          <w:b/>
          <w:bCs/>
        </w:rPr>
        <w:t xml:space="preserve">deterministic execution</w:t>
      </w:r>
      <w:r>
        <w:t xml:space="preserve">: byte-exact reproduction of the Dube filtered NPX, containment of ≥94% of comparator hits at q&lt;0.10, and end-to-end transport to Gisby and Wei through thin adapters. Determinism is an execution property; the inference claims are tested empirically via LOO rank retention, threshold sensitivity, and permutation null testing on the paired cohorts.</w:t>
      </w:r>
    </w:p>
    <w:p>
      <w:pPr>
        <w:pStyle w:val="BodyText"/>
      </w:pPr>
      <w:r>
        <w:t xml:space="preserve">The robustness geometry is the most informative output in this regime. In Dube (n=10), high proteome-wide sign stability confirms that acute directional biology is not a single-subject artefact, while lower all-rerun retention of strict q&lt;0.05 non-canonical hits shows that many near-threshold calls are fragile. In Gisby (n=23), the same outputs give a tighter margin (82% vs 14–31% all-LOO retention), so the readouts are not merely a small-</w:t>
      </w:r>
      <m:oMath>
        <m:r>
          <m:t>n</m:t>
        </m:r>
      </m:oMath>
      <w:r>
        <w:t xml:space="preserve"> </w:t>
      </w:r>
      <w:r>
        <w:t xml:space="preserve">diagnostic but a quantitative summary of how threshold robustness scales with sample size — visible in the same output columns as the Dube analysis, not in a parallel statistical framework. Framework portability is a property of the design (generic NPX long-format input, user-supplied contrast metadata, no hard-coded heat-acclimation coupling): paired longitudinal DE and unpaired three-way case-control DE both run through the same binary with only a thin adapter and, for the unpaired case, the</w:t>
      </w:r>
      <w:r>
        <w:t xml:space="preserve"> </w:t>
      </w:r>
      <w:r>
        <w:rPr>
          <w:rStyle w:val="VerbatimChar"/>
        </w:rPr>
        <w:t xml:space="preserve">welch-t</w:t>
      </w:r>
      <w:r>
        <w:t xml:space="preserve"> </w:t>
      </w:r>
      <w:r>
        <w:t xml:space="preserve">mode.</w:t>
      </w:r>
    </w:p>
    <w:p>
      <w:pPr>
        <w:pStyle w:val="BodyText"/>
      </w:pPr>
      <w:r>
        <w:t xml:space="preserve">The Dube case study is read at the evidence level n=10 allows: subject-level deltas and the permutation null identify recurrent and variable proteins as candidate features for follow-up; the SVD projection and physiology correlations are structural descriptions. The source Dube report emphasized the same endpoint-level power constraint [2]; Atman makes that constraint visible in the standard deliverables rather than confining it to the limitations section.</w:t>
      </w:r>
    </w:p>
    <w:bookmarkStart w:id="22" w:name="limitations"/>
    <w:p>
      <w:pPr>
        <w:pStyle w:val="Heading3"/>
      </w:pPr>
      <w:r>
        <w:t xml:space="preserve">Limitations</w:t>
      </w:r>
    </w:p>
    <w:p>
      <w:pPr>
        <w:pStyle w:val="FirstParagraph"/>
      </w:pPr>
      <w:r>
        <w:t xml:space="preserve">The case studies here span four datasets on two quantitative proteomics platform families — Dube heat-acclimation (Olink Explore NGS, n=10, paired), Gisby 2021 COVID dialysis (Olink Target 96, n=23, paired), Wei Alzheimer plasma (Olink Target 96, n=10 per group, unpaired case-control), and Gisby 2022 COVID dialysis (SomaLogic SomaScan v4.1, n=28, paired). Cross-platform transportability beyond Olink, for example to mass-spectrometry-based intensity data, would require a new parser and a different QC rule set and is not demonstrated. Within the Olink scope, three biological contexts on two platforms with two design classes test portability but do not exhaust the space; wider benchmarking on additional cohorts is a natural extension. At Dube’s sample size (n=10 overall, n=8 for several acclimation physiology links) per-protein and endpoint-level power is reduced and leverage sensitivity of correlation estimates is high; stability-oriented checks were emphasised and phenotype coupling was treated as exploratory when BH significance was not met. Module trajectory features were knowledge-driven from canonical heat-response biology and should be treated as candidate axes pending external validation. These constraints apply to the Dube case study; the Gisby application inherits the single-platform-family constraint but benefits from larger n and produces correspondingly tighter stability geometry, and the Wei application is a minimal unpaired demonstration at n=10 per group that establishes the</w:t>
      </w:r>
      <w:r>
        <w:t xml:space="preserve"> </w:t>
      </w:r>
      <w:r>
        <w:rPr>
          <w:rStyle w:val="VerbatimChar"/>
        </w:rPr>
        <w:t xml:space="preserve">welch-t</w:t>
      </w:r>
      <w:r>
        <w:t xml:space="preserve"> </w:t>
      </w:r>
      <w:r>
        <w:t xml:space="preserve">path runs end-to-end and numerically matches</w:t>
      </w:r>
      <w:r>
        <w:t xml:space="preserve"> </w:t>
      </w:r>
      <w:r>
        <w:rPr>
          <w:rStyle w:val="VerbatimChar"/>
        </w:rPr>
        <w:t xml:space="preserve">scipy</w:t>
      </w:r>
      <w:r>
        <w:t xml:space="preserve">, not a well-powered neuroinflammation discovery.</w:t>
      </w:r>
    </w:p>
    <w:p>
      <w:pPr>
        <w:pStyle w:val="BodyText"/>
      </w:pPr>
      <w:r>
        <w:t xml:space="preserve">Overall, the evidence supports three claims at the evidence levels the three cohorts allow. First, the reproduction base is byte-exact on Dube, and the same pipeline transports to Gisby (paired) and Wei (unpaired) through thin adapters — the unpaired demonstration adding a</w:t>
      </w:r>
      <w:r>
        <w:t xml:space="preserve"> </w:t>
      </w:r>
      <w:r>
        <w:rPr>
          <w:rStyle w:val="VerbatimChar"/>
        </w:rPr>
        <w:t xml:space="preserve">welch-t</w:t>
      </w:r>
      <w:r>
        <w:t xml:space="preserve"> </w:t>
      </w:r>
      <w:r>
        <w:t xml:space="preserve">mode that matches</w:t>
      </w:r>
      <w:r>
        <w:t xml:space="preserve"> </w:t>
      </w:r>
      <w:r>
        <w:rPr>
          <w:rStyle w:val="VerbatimChar"/>
        </w:rPr>
        <w:t xml:space="preserve">scipy</w:t>
      </w:r>
      <w:r>
        <w:t xml:space="preserve"> </w:t>
      </w:r>
      <w:r>
        <w:t xml:space="preserve">to machine precision — establishing framework portability across Olink platforms and design classes. Second, in the paired cohorts where LOO is natural the robustness outputs are informative about the strength of the underlying signal — directional stability is high, and strict-threshold retention scales with sample size in the expected direction from Dube (n=10) to Gisby (n=23). Third, Atman provides these reproducible and stability-oriented readouts from one deterministic pipeline, which is the methodological contribution the paper is claiming; biological interpretation in each case study is held at candidate-feature status rather than confirmatory, consistent with the sample-size-aware interpretation discipline the framework is designed to make visible.</w:t>
      </w:r>
    </w:p>
    <w:bookmarkEnd w:id="22"/>
    <w:bookmarkEnd w:id="23"/>
    <w:bookmarkStart w:id="24" w:name="ethics-statement"/>
    <w:p>
      <w:pPr>
        <w:pStyle w:val="Heading2"/>
      </w:pPr>
      <w:r>
        <w:t xml:space="preserve">Ethics statement</w:t>
      </w:r>
    </w:p>
    <w:p>
      <w:pPr>
        <w:pStyle w:val="FirstParagraph"/>
      </w:pPr>
      <w:r>
        <w:t xml:space="preserve">This work is a secondary analysis of already-published, de-identified public datasets [2,17,18,19]. No new participant recruitment, intervention, or re-consent was performed. Original ethics approval and consent procedures are described in the source publications, and data use follows the access and reuse terms of each public release.</w:t>
      </w:r>
    </w:p>
    <w:bookmarkEnd w:id="24"/>
    <w:bookmarkStart w:id="25" w:name="author-contributions"/>
    <w:p>
      <w:pPr>
        <w:pStyle w:val="Heading2"/>
      </w:pPr>
      <w:r>
        <w:t xml:space="preserve">Author contributions</w:t>
      </w:r>
    </w:p>
    <w:p>
      <w:pPr>
        <w:pStyle w:val="FirstParagraph"/>
      </w:pPr>
      <w:r>
        <w:t xml:space="preserve">Kevin Joseph: Conceptualization; Data curation; Formal analysis; Investigation; Methodology; Software; Validation; Visualization; Writing – original draft; Writing – review and editing.</w:t>
      </w:r>
    </w:p>
    <w:bookmarkEnd w:id="25"/>
    <w:bookmarkStart w:id="26" w:name="funding"/>
    <w:p>
      <w:pPr>
        <w:pStyle w:val="Heading2"/>
      </w:pPr>
      <w:r>
        <w:t xml:space="preserve">Funding</w:t>
      </w:r>
    </w:p>
    <w:p>
      <w:pPr>
        <w:pStyle w:val="FirstParagraph"/>
      </w:pPr>
      <w:r>
        <w:t xml:space="preserve">This work received no external funding. [USER: replace with actual funding statement before submission.]</w:t>
      </w:r>
    </w:p>
    <w:bookmarkEnd w:id="26"/>
    <w:bookmarkStart w:id="27" w:name="competing-interests"/>
    <w:p>
      <w:pPr>
        <w:pStyle w:val="Heading2"/>
      </w:pPr>
      <w:r>
        <w:t xml:space="preserve">Competing interests</w:t>
      </w:r>
    </w:p>
    <w:p>
      <w:pPr>
        <w:pStyle w:val="FirstParagraph"/>
      </w:pPr>
      <w:r>
        <w:t xml:space="preserve">The author declares no competing financial or non-financial interests.</w:t>
      </w:r>
    </w:p>
    <w:bookmarkEnd w:id="27"/>
    <w:bookmarkStart w:id="28" w:name="corresponding-author"/>
    <w:p>
      <w:pPr>
        <w:pStyle w:val="Heading2"/>
      </w:pPr>
      <w:r>
        <w:t xml:space="preserve">Corresponding author</w:t>
      </w:r>
    </w:p>
    <w:p>
      <w:pPr>
        <w:pStyle w:val="FirstParagraph"/>
      </w:pPr>
      <w:r>
        <w:t xml:space="preserve">Kevin Joseph. Email: kevin.joseph08@gmail.com. ORCID: [USER-FILL: insert 0000-0000-0000-0000]. Affiliation: [USER-FILL].</w:t>
      </w:r>
    </w:p>
    <w:bookmarkEnd w:id="28"/>
    <w:bookmarkStart w:id="38" w:name="materials-and-methods"/>
    <w:p>
      <w:pPr>
        <w:pStyle w:val="Heading2"/>
      </w:pPr>
      <w:r>
        <w:t xml:space="preserve">Materials and methods</w:t>
      </w:r>
    </w:p>
    <w:bookmarkStart w:id="29" w:name="dataset-and-sample-structure"/>
    <w:p>
      <w:pPr>
        <w:pStyle w:val="Heading3"/>
      </w:pPr>
      <w:r>
        <w:t xml:space="preserve">Dataset and sample structure</w:t>
      </w:r>
    </w:p>
    <w:p>
      <w:pPr>
        <w:pStyle w:val="FirstParagraph"/>
      </w:pPr>
      <w:r>
        <w:t xml:space="preserve">The analysis used the Dube heat-stress/acclimation Olink Explore NPX dataset [2,7] (mirrored in the analysis workspace under</w:t>
      </w:r>
      <w:r>
        <w:t xml:space="preserve"> </w:t>
      </w:r>
      <w:r>
        <w:rPr>
          <w:rStyle w:val="VerbatimChar"/>
        </w:rPr>
        <w:t xml:space="preserve">example_data/dube_heat_2023</w:t>
      </w:r>
      <w:r>
        <w:t xml:space="preserve"> </w:t>
      </w:r>
      <w:r>
        <w:t xml:space="preserve">for reproducibility; archived repository DOI to be added at submission). Biological sampling was balanced across four within-subject states: PR1, PT1, PR2, PT2 (10 samples each; 40 biological samples total), with three additional technical control samples (CONTROL_SAMPLE identifiers). Sample IDs were parsed using the Dube convention</w:t>
      </w:r>
      <w:r>
        <w:t xml:space="preserve"> </w:t>
      </w:r>
      <w:r>
        <w:rPr>
          <w:rStyle w:val="VerbatimChar"/>
        </w:rPr>
        <w:t xml:space="preserve">SSNA-&lt;subject&gt;-&lt;condition&gt;</w:t>
      </w:r>
      <w:r>
        <w:t xml:space="preserve">.</w:t>
      </w:r>
    </w:p>
    <w:bookmarkEnd w:id="29"/>
    <w:bookmarkStart w:id="30" w:name="core-proteomics-preprocessing"/>
    <w:p>
      <w:pPr>
        <w:pStyle w:val="Heading3"/>
      </w:pPr>
      <w:r>
        <w:t xml:space="preserve">Core proteomics preprocessing</w:t>
      </w:r>
    </w:p>
    <w:p>
      <w:pPr>
        <w:pStyle w:val="FirstParagraph"/>
      </w:pPr>
      <w:r>
        <w:t xml:space="preserve">Raw NPX files were processed with the public</w:t>
      </w:r>
      <w:r>
        <w:t xml:space="preserve"> </w:t>
      </w:r>
      <w:r>
        <w:rPr>
          <w:rStyle w:val="VerbatimChar"/>
        </w:rPr>
        <w:t xml:space="preserve">Atman</w:t>
      </w:r>
      <w:r>
        <w:t xml:space="preserve"> </w:t>
      </w:r>
      <w:r>
        <w:t xml:space="preserve">CLI:</w:t>
      </w:r>
    </w:p>
    <w:p>
      <w:pPr>
        <w:pStyle w:val="Compact"/>
        <w:numPr>
          <w:ilvl w:val="0"/>
          <w:numId w:val="1001"/>
        </w:numPr>
      </w:pPr>
      <w:r>
        <w:rPr>
          <w:rStyle w:val="VerbatimChar"/>
        </w:rPr>
        <w:t xml:space="preserve">ingest</w:t>
      </w:r>
      <w:r>
        <w:t xml:space="preserve"> </w:t>
      </w:r>
      <w:r>
        <w:t xml:space="preserve">to produce canonical long-format</w:t>
      </w:r>
      <w:r>
        <w:t xml:space="preserve"> </w:t>
      </w:r>
      <w:r>
        <w:rPr>
          <w:rStyle w:val="VerbatimChar"/>
        </w:rPr>
        <w:t xml:space="preserve">measurements.tsv</w:t>
      </w:r>
      <w:r>
        <w:t xml:space="preserve">,</w:t>
      </w:r>
      <w:r>
        <w:t xml:space="preserve"> </w:t>
      </w:r>
      <w:r>
        <w:rPr>
          <w:rStyle w:val="VerbatimChar"/>
        </w:rPr>
        <w:t xml:space="preserve">proteins.tsv</w:t>
      </w:r>
      <w:r>
        <w:t xml:space="preserve">, and</w:t>
      </w:r>
      <w:r>
        <w:t xml:space="preserve"> </w:t>
      </w:r>
      <w:r>
        <w:rPr>
          <w:rStyle w:val="VerbatimChar"/>
        </w:rPr>
        <w:t xml:space="preserve">samples.tsv</w:t>
      </w:r>
      <w:r>
        <w:t xml:space="preserve">;</w:t>
      </w:r>
    </w:p>
    <w:p>
      <w:pPr>
        <w:pStyle w:val="Compact"/>
        <w:numPr>
          <w:ilvl w:val="0"/>
          <w:numId w:val="1001"/>
        </w:numPr>
      </w:pPr>
      <w:r>
        <w:rPr>
          <w:rStyle w:val="VerbatimChar"/>
        </w:rPr>
        <w:t xml:space="preserve">qc</w:t>
      </w:r>
      <w:r>
        <w:t xml:space="preserve"> </w:t>
      </w:r>
      <w:r>
        <w:t xml:space="preserve">with Dube rule (mask rows where sample-level or assay-level QC warning was not PASS);</w:t>
      </w:r>
    </w:p>
    <w:p>
      <w:pPr>
        <w:pStyle w:val="Compact"/>
        <w:numPr>
          <w:ilvl w:val="0"/>
          <w:numId w:val="1001"/>
        </w:numPr>
      </w:pPr>
      <w:r>
        <w:rPr>
          <w:rStyle w:val="VerbatimChar"/>
        </w:rPr>
        <w:t xml:space="preserve">matrix</w:t>
      </w:r>
      <w:r>
        <w:t xml:space="preserve"> </w:t>
      </w:r>
      <w:r>
        <w:t xml:space="preserve">to generate panel-wise wide matrices;</w:t>
      </w:r>
    </w:p>
    <w:p>
      <w:pPr>
        <w:pStyle w:val="Compact"/>
        <w:numPr>
          <w:ilvl w:val="0"/>
          <w:numId w:val="1001"/>
        </w:numPr>
      </w:pPr>
      <w:r>
        <w:rPr>
          <w:rStyle w:val="VerbatimChar"/>
        </w:rPr>
        <w:t xml:space="preserve">fold-change</w:t>
      </w:r>
      <w:r>
        <w:t xml:space="preserve"> </w:t>
      </w:r>
      <w:r>
        <w:t xml:space="preserve">to compute contrast fold changes;</w:t>
      </w:r>
    </w:p>
    <w:p>
      <w:pPr>
        <w:pStyle w:val="Compact"/>
        <w:numPr>
          <w:ilvl w:val="0"/>
          <w:numId w:val="1001"/>
        </w:numPr>
      </w:pPr>
      <w:r>
        <w:rPr>
          <w:rStyle w:val="VerbatimChar"/>
        </w:rPr>
        <w:t xml:space="preserve">de</w:t>
      </w:r>
      <w:r>
        <w:t xml:space="preserve"> </w:t>
      </w:r>
      <w:r>
        <w:t xml:space="preserve">for paired differential abundance.</w:t>
      </w:r>
    </w:p>
    <w:p>
      <w:pPr>
        <w:pStyle w:val="FirstParagraph"/>
      </w:pPr>
      <w:r>
        <w:t xml:space="preserve">The public release command surface also includes heterogeneity-oriented operations:</w:t>
      </w:r>
      <w:r>
        <w:t xml:space="preserve"> </w:t>
      </w:r>
      <w:r>
        <w:rPr>
          <w:rStyle w:val="VerbatimChar"/>
        </w:rPr>
        <w:t xml:space="preserve">asymmetry</w:t>
      </w:r>
      <w:r>
        <w:t xml:space="preserve"> </w:t>
      </w:r>
      <w:r>
        <w:t xml:space="preserve">(paired contrast asymmetry metrics),</w:t>
      </w:r>
      <w:r>
        <w:t xml:space="preserve"> </w:t>
      </w:r>
      <w:r>
        <w:rPr>
          <w:rStyle w:val="VerbatimChar"/>
        </w:rPr>
        <w:t xml:space="preserve">robustness</w:t>
      </w:r>
      <w:r>
        <w:t xml:space="preserve"> </w:t>
      </w:r>
      <w:r>
        <w:t xml:space="preserve">(LOO sign/rank stability summaries from DE outputs), and</w:t>
      </w:r>
      <w:r>
        <w:t xml:space="preserve"> </w:t>
      </w:r>
      <w:r>
        <w:rPr>
          <w:rStyle w:val="VerbatimChar"/>
        </w:rPr>
        <w:t xml:space="preserve">module-trajectory</w:t>
      </w:r>
      <w:r>
        <w:t xml:space="preserve"> </w:t>
      </w:r>
      <w:r>
        <w:t xml:space="preserve">(module score extraction from user-supplied</w:t>
      </w:r>
      <w:r>
        <w:t xml:space="preserve"> </w:t>
      </w:r>
      <w:r>
        <w:rPr>
          <w:rStyle w:val="VerbatimChar"/>
        </w:rPr>
        <w:t xml:space="preserve">modules.tsv</w:t>
      </w:r>
      <w:r>
        <w:t xml:space="preserve"> </w:t>
      </w:r>
      <w:r>
        <w:t xml:space="preserve">definitions and per-subject delta tables).</w:t>
      </w:r>
    </w:p>
    <w:p>
      <w:pPr>
        <w:pStyle w:val="BodyText"/>
      </w:pPr>
      <w:r>
        <w:t xml:space="preserve">Control samples were retained in intermediate files for faithful reproduction behavior but excluded from differential abundance and subject-level biological burden calculations.</w:t>
      </w:r>
    </w:p>
    <w:bookmarkEnd w:id="30"/>
    <w:bookmarkStart w:id="31" w:name="differential-abundance-model"/>
    <w:p>
      <w:pPr>
        <w:pStyle w:val="Heading3"/>
      </w:pPr>
      <w:r>
        <w:t xml:space="preserve">Differential abundance model</w:t>
      </w:r>
    </w:p>
    <w:p>
      <w:pPr>
        <w:pStyle w:val="FirstParagraph"/>
      </w:pPr>
      <w:r>
        <w:t xml:space="preserve">For each protein</w:t>
      </w:r>
      <w:r>
        <w:t xml:space="preserve"> </w:t>
      </w:r>
      <m:oMath>
        <m:r>
          <m:t>i</m:t>
        </m:r>
      </m:oMath>
      <w:r>
        <w:t xml:space="preserve"> </w:t>
      </w:r>
      <w:r>
        <w:t xml:space="preserve">and each paired comparison</w:t>
      </w:r>
      <w:r>
        <w:t xml:space="preserve"> </w:t>
      </w:r>
      <m:oMath>
        <m:r>
          <m:t>c</m:t>
        </m:r>
        <m:r>
          <m:rPr>
            <m:sty m:val="p"/>
          </m:rPr>
          <m:t>=</m:t>
        </m:r>
        <m:r>
          <m:rPr>
            <m:sty m:val="p"/>
          </m:rPr>
          <m:t>(</m:t>
        </m:r>
        <m:r>
          <m:t>A</m:t>
        </m:r>
        <m:r>
          <m:rPr>
            <m:sty m:val="p"/>
          </m:rPr>
          <m:t>,</m:t>
        </m:r>
        <m:r>
          <m:t>B</m:t>
        </m:r>
        <m:r>
          <m:rPr>
            <m:sty m:val="p"/>
          </m:rPr>
          <m:t>)</m:t>
        </m:r>
        <m:r>
          <m:rPr>
            <m:sty m:val="p"/>
          </m:rPr>
          <m:t>∈</m:t>
        </m:r>
        <m:r>
          <m:rPr>
            <m:sty m:val="p"/>
          </m:rPr>
          <m:t>{</m:t>
        </m:r>
        <m:r>
          <m:rPr>
            <m:nor/>
            <m:sty m:val="p"/>
          </m:rPr>
          <m:t>PT1-PR1, PT2-PR2, PT2-PT1, PR2-PR1</m:t>
        </m:r>
        <m:r>
          <m:rPr>
            <m:sty m:val="p"/>
          </m:rPr>
          <m:t>}</m:t>
        </m:r>
      </m:oMath>
      <w:r>
        <w:t xml:space="preserve">, let</w:t>
      </w:r>
      <w:r>
        <w:t xml:space="preserve"> </w:t>
      </w:r>
      <m:oMath>
        <m:sSub>
          <m:e>
            <m:r>
              <m:t>S</m:t>
            </m:r>
          </m:e>
          <m:sub>
            <m:r>
              <m:t>i</m:t>
            </m:r>
            <m:r>
              <m:rPr>
                <m:sty m:val="p"/>
              </m:rPr>
              <m:t>,</m:t>
            </m:r>
            <m:r>
              <m:t>c</m:t>
            </m:r>
          </m:sub>
        </m:sSub>
      </m:oMath>
      <w:r>
        <w:t xml:space="preserve"> </w:t>
      </w:r>
      <w:r>
        <w:t xml:space="preserve">denote the subjects measured under both</w:t>
      </w:r>
      <w:r>
        <w:t xml:space="preserve"> </w:t>
      </w:r>
      <m:oMath>
        <m:r>
          <m:t>A</m:t>
        </m:r>
      </m:oMath>
      <w:r>
        <w:t xml:space="preserve"> </w:t>
      </w:r>
      <w:r>
        <w:t xml:space="preserve">and</w:t>
      </w:r>
      <w:r>
        <w:t xml:space="preserve"> </w:t>
      </w:r>
      <m:oMath>
        <m:r>
          <m:t>B</m:t>
        </m:r>
      </m:oMath>
      <w:r>
        <w:t xml:space="preserve">. Per-subject paired differences and per-protein effect size were</w:t>
      </w:r>
    </w:p>
    <w:p>
      <w:pPr>
        <w:pStyle w:val="BodyText"/>
      </w:pPr>
      <m:oMathPara>
        <m:oMathParaPr>
          <m:jc m:val="center"/>
        </m:oMathParaPr>
        <m:oMath>
          <m:sSub>
            <m:e>
              <m:r>
                <m:t>d</m:t>
              </m:r>
            </m:e>
            <m:sub>
              <m:r>
                <m:t>i</m:t>
              </m:r>
              <m:r>
                <m:rPr>
                  <m:sty m:val="p"/>
                </m:rPr>
                <m:t>,</m:t>
              </m:r>
              <m:r>
                <m:t>s</m:t>
              </m:r>
              <m:r>
                <m:rPr>
                  <m:sty m:val="p"/>
                </m:rPr>
                <m:t>,</m:t>
              </m:r>
              <m:r>
                <m:t>c</m:t>
              </m:r>
            </m:sub>
          </m:sSub>
          <m:r>
            <m:rPr>
              <m:sty m:val="p"/>
            </m:rPr>
            <m:t>=</m:t>
          </m:r>
          <m:sSub>
            <m:e>
              <m:r>
                <m:t>x</m:t>
              </m:r>
            </m:e>
            <m:sub>
              <m:r>
                <m:t>i</m:t>
              </m:r>
              <m:r>
                <m:rPr>
                  <m:sty m:val="p"/>
                </m:rPr>
                <m:t>,</m:t>
              </m:r>
              <m:r>
                <m:t>s</m:t>
              </m:r>
              <m:r>
                <m:rPr>
                  <m:sty m:val="p"/>
                </m:rPr>
                <m:t>,</m:t>
              </m:r>
              <m:r>
                <m:t>A</m:t>
              </m:r>
            </m:sub>
          </m:sSub>
          <m:r>
            <m:rPr>
              <m:sty m:val="p"/>
            </m:rPr>
            <m:t>−</m:t>
          </m:r>
          <m:sSub>
            <m:e>
              <m:r>
                <m:t>x</m:t>
              </m:r>
            </m:e>
            <m:sub>
              <m:r>
                <m:t>i</m:t>
              </m:r>
              <m:r>
                <m:rPr>
                  <m:sty m:val="p"/>
                </m:rPr>
                <m:t>,</m:t>
              </m:r>
              <m:r>
                <m:t>s</m:t>
              </m:r>
              <m:r>
                <m:rPr>
                  <m:sty m:val="p"/>
                </m:rPr>
                <m:t>,</m:t>
              </m:r>
              <m:r>
                <m:t>B</m:t>
              </m:r>
            </m:sub>
          </m:sSub>
          <m:r>
            <m:rPr>
              <m:sty m:val="p"/>
            </m:rPr>
            <m:t>,</m:t>
          </m:r>
          <m:r>
            <m:t>  </m:t>
          </m:r>
          <m:sSub>
            <m:e>
              <m:acc>
                <m:accPr>
                  <m:chr m:val="‾"/>
                </m:accPr>
                <m:e>
                  <m:r>
                    <m:t>d</m:t>
                  </m:r>
                </m:e>
              </m:acc>
            </m:e>
            <m:sub>
              <m:r>
                <m:t>i</m:t>
              </m:r>
              <m:r>
                <m:rPr>
                  <m:sty m:val="p"/>
                </m:rPr>
                <m:t>,</m:t>
              </m:r>
              <m:r>
                <m:t>c</m:t>
              </m:r>
            </m:sub>
          </m:sSub>
          <m:r>
            <m:rPr>
              <m:sty m:val="p"/>
            </m:rPr>
            <m:t>=</m:t>
          </m:r>
          <m:f>
            <m:fPr>
              <m:type m:val="bar"/>
            </m:fPr>
            <m:num>
              <m:r>
                <m:t>1</m:t>
              </m:r>
            </m:num>
            <m:den>
              <m:r>
                <m:rPr>
                  <m:sty m:val="p"/>
                </m:rPr>
                <m:t>|</m:t>
              </m:r>
              <m:sSub>
                <m:e>
                  <m:r>
                    <m:t>S</m:t>
                  </m:r>
                </m:e>
                <m:sub>
                  <m:r>
                    <m:t>i</m:t>
                  </m:r>
                  <m:r>
                    <m:rPr>
                      <m:sty m:val="p"/>
                    </m:rPr>
                    <m:t>,</m:t>
                  </m:r>
                  <m:r>
                    <m:t>c</m:t>
                  </m:r>
                </m:sub>
              </m:sSub>
              <m:r>
                <m:rPr>
                  <m:sty m:val="p"/>
                </m:rPr>
                <m:t>|</m:t>
              </m:r>
            </m:den>
          </m:f>
          <m:nary>
            <m:naryPr>
              <m:chr m:val="∑"/>
              <m:limLoc m:val="undOvr"/>
              <m:subHide m:val="off"/>
              <m:supHide m:val="on"/>
            </m:naryPr>
            <m:sub>
              <m:r>
                <m:t>s</m:t>
              </m:r>
              <m:r>
                <m:rPr>
                  <m:sty m:val="p"/>
                </m:rPr>
                <m:t>∈</m:t>
              </m:r>
              <m:sSub>
                <m:e>
                  <m:r>
                    <m:t>S</m:t>
                  </m:r>
                </m:e>
                <m:sub>
                  <m:r>
                    <m:t>i</m:t>
                  </m:r>
                  <m:r>
                    <m:rPr>
                      <m:sty m:val="p"/>
                    </m:rPr>
                    <m:t>,</m:t>
                  </m:r>
                  <m:r>
                    <m:t>c</m:t>
                  </m:r>
                </m:sub>
              </m:sSub>
            </m:sub>
            <m:sup>
              <m:r>
                <m:t>​</m:t>
              </m:r>
            </m:sup>
            <m:e>
              <m:sSub>
                <m:e>
                  <m:r>
                    <m:t>d</m:t>
                  </m:r>
                </m:e>
                <m:sub>
                  <m:r>
                    <m:t>i</m:t>
                  </m:r>
                  <m:r>
                    <m:rPr>
                      <m:sty m:val="p"/>
                    </m:rPr>
                    <m:t>,</m:t>
                  </m:r>
                  <m:r>
                    <m:t>s</m:t>
                  </m:r>
                  <m:r>
                    <m:rPr>
                      <m:sty m:val="p"/>
                    </m:rPr>
                    <m:t>,</m:t>
                  </m:r>
                  <m:r>
                    <m:t>c</m:t>
                  </m:r>
                </m:sub>
              </m:sSub>
            </m:e>
          </m:nary>
          <m:r>
            <m:rPr>
              <m:sty m:val="p"/>
            </m:rPr>
            <m:t>,</m:t>
          </m:r>
        </m:oMath>
      </m:oMathPara>
    </w:p>
    <w:p>
      <w:pPr>
        <w:pStyle w:val="FirstParagraph"/>
      </w:pPr>
      <w:r>
        <w:t xml:space="preserve">with paired Student’s</w:t>
      </w:r>
      <w:r>
        <w:t xml:space="preserve"> </w:t>
      </w:r>
      <m:oMath>
        <m:r>
          <m:t>t</m:t>
        </m:r>
      </m:oMath>
      <w:r>
        <w:t xml:space="preserve">-statistic</w:t>
      </w:r>
      <w:r>
        <w:t xml:space="preserve"> </w:t>
      </w:r>
      <m:oMath>
        <m:sSub>
          <m:e>
            <m:r>
              <m:t>t</m:t>
            </m:r>
          </m:e>
          <m:sub>
            <m:r>
              <m:t>i</m:t>
            </m:r>
            <m:r>
              <m:rPr>
                <m:sty m:val="p"/>
              </m:rPr>
              <m:t>,</m:t>
            </m:r>
            <m:r>
              <m:t>c</m:t>
            </m:r>
          </m:sub>
        </m:sSub>
        <m:r>
          <m:rPr>
            <m:sty m:val="p"/>
          </m:rPr>
          <m:t>=</m:t>
        </m:r>
        <m:sSub>
          <m:e>
            <m:acc>
              <m:accPr>
                <m:chr m:val="‾"/>
              </m:accPr>
              <m:e>
                <m:r>
                  <m:t>d</m:t>
                </m:r>
              </m:e>
            </m:acc>
          </m:e>
          <m:sub>
            <m:r>
              <m:t>i</m:t>
            </m:r>
            <m:r>
              <m:rPr>
                <m:sty m:val="p"/>
              </m:rPr>
              <m:t>,</m:t>
            </m:r>
            <m:r>
              <m:t>c</m:t>
            </m:r>
          </m:sub>
        </m:sSub>
        <m:r>
          <m:t> </m:t>
        </m:r>
        <m:r>
          <m:rPr>
            <m:sty m:val="p"/>
          </m:rPr>
          <m:t>/</m:t>
        </m:r>
        <m:r>
          <m:t> </m:t>
        </m:r>
        <m:r>
          <m:rPr>
            <m:sty m:val="p"/>
          </m:rPr>
          <m:t>(</m:t>
        </m:r>
        <m:r>
          <m:rPr>
            <m:sty m:val="p"/>
          </m:rPr>
          <m:t>s</m:t>
        </m:r>
        <m:r>
          <m:rPr>
            <m:sty m:val="p"/>
          </m:rPr>
          <m:t>d</m:t>
        </m:r>
        <m:r>
          <m:rPr>
            <m:sty m:val="p"/>
          </m:rPr>
          <m:t>(</m:t>
        </m:r>
        <m:sSub>
          <m:e>
            <m:r>
              <m:t>d</m:t>
            </m:r>
          </m:e>
          <m:sub>
            <m:r>
              <m:t>i</m:t>
            </m:r>
            <m:r>
              <m:rPr>
                <m:sty m:val="p"/>
              </m:rPr>
              <m:t>,</m:t>
            </m:r>
            <m:r>
              <m:rPr>
                <m:sty m:val="p"/>
              </m:rPr>
              <m:t>⋅</m:t>
            </m:r>
            <m:r>
              <m:rPr>
                <m:sty m:val="p"/>
              </m:rPr>
              <m:t>,</m:t>
            </m:r>
            <m:r>
              <m:t>c</m:t>
            </m:r>
          </m:sub>
        </m:sSub>
        <m:r>
          <m:rPr>
            <m:sty m:val="p"/>
          </m:rPr>
          <m:t>)</m:t>
        </m:r>
        <m:r>
          <m:rPr>
            <m:sty m:val="p"/>
          </m:rPr>
          <m:t>/</m:t>
        </m:r>
        <m:rad>
          <m:radPr>
            <m:degHide m:val="on"/>
          </m:radPr>
          <m:deg/>
          <m:e>
            <m:r>
              <m:rPr>
                <m:sty m:val="p"/>
              </m:rPr>
              <m:t>|</m:t>
            </m:r>
            <m:sSub>
              <m:e>
                <m:r>
                  <m:t>S</m:t>
                </m:r>
              </m:e>
              <m:sub>
                <m:r>
                  <m:t>i</m:t>
                </m:r>
                <m:r>
                  <m:rPr>
                    <m:sty m:val="p"/>
                  </m:rPr>
                  <m:t>,</m:t>
                </m:r>
                <m:r>
                  <m:t>c</m:t>
                </m:r>
              </m:sub>
            </m:sSub>
            <m:r>
              <m:rPr>
                <m:sty m:val="p"/>
              </m:rPr>
              <m:t>|</m:t>
            </m:r>
          </m:e>
        </m:rad>
        <m:r>
          <m:rPr>
            <m:sty m:val="p"/>
          </m:rPr>
          <m:t>)</m:t>
        </m:r>
      </m:oMath>
      <w:r>
        <w:t xml:space="preserve"> </w:t>
      </w:r>
      <w:r>
        <w:t xml:space="preserve">on</w:t>
      </w:r>
      <w:r>
        <w:t xml:space="preserve"> </w:t>
      </w:r>
      <m:oMath>
        <m:r>
          <m:rPr>
            <m:sty m:val="p"/>
          </m:rPr>
          <m:t>|</m:t>
        </m:r>
        <m:sSub>
          <m:e>
            <m:r>
              <m:t>S</m:t>
            </m:r>
          </m:e>
          <m:sub>
            <m:r>
              <m:t>i</m:t>
            </m:r>
            <m:r>
              <m:rPr>
                <m:sty m:val="p"/>
              </m:rPr>
              <m:t>,</m:t>
            </m:r>
            <m:r>
              <m:t>c</m:t>
            </m:r>
          </m:sub>
        </m:sSub>
        <m:r>
          <m:rPr>
            <m:sty m:val="p"/>
          </m:rPr>
          <m:t>|</m:t>
        </m:r>
        <m:r>
          <m:rPr>
            <m:sty m:val="p"/>
          </m:rPr>
          <m:t>−</m:t>
        </m:r>
        <m:r>
          <m:t>1</m:t>
        </m:r>
      </m:oMath>
      <w:r>
        <w:t xml:space="preserve"> </w:t>
      </w:r>
      <w:r>
        <w:t xml:space="preserve">degrees of freedom, computed only when</w:t>
      </w:r>
      <w:r>
        <w:t xml:space="preserve"> </w:t>
      </w:r>
      <m:oMath>
        <m:r>
          <m:rPr>
            <m:sty m:val="p"/>
          </m:rPr>
          <m:t>|</m:t>
        </m:r>
        <m:sSub>
          <m:e>
            <m:r>
              <m:t>S</m:t>
            </m:r>
          </m:e>
          <m:sub>
            <m:r>
              <m:t>i</m:t>
            </m:r>
            <m:r>
              <m:rPr>
                <m:sty m:val="p"/>
              </m:rPr>
              <m:t>,</m:t>
            </m:r>
            <m:r>
              <m:t>c</m:t>
            </m:r>
          </m:sub>
        </m:sSub>
        <m:r>
          <m:rPr>
            <m:sty m:val="p"/>
          </m:rPr>
          <m:t>|</m:t>
        </m:r>
        <m:r>
          <m:rPr>
            <m:sty m:val="p"/>
          </m:rPr>
          <m:t>≥</m:t>
        </m:r>
        <m:r>
          <m:rPr>
            <m:nor/>
            <m:scr m:val="monospace"/>
            <m:sty m:val="p"/>
          </m:rPr>
          <m:t>min_pairs</m:t>
        </m:r>
      </m:oMath>
      <w:r>
        <w:t xml:space="preserve"> </w:t>
      </w:r>
      <w:r>
        <w:t xml:space="preserve">(</w:t>
      </w:r>
      <w:r>
        <w:rPr>
          <w:rStyle w:val="VerbatimChar"/>
        </w:rPr>
        <w:t xml:space="preserve">min_pairs=5</w:t>
      </w:r>
      <w:r>
        <w:t xml:space="preserve"> </w:t>
      </w:r>
      <w:r>
        <w:t xml:space="preserve">in main analysis). Two-sided</w:t>
      </w:r>
      <w:r>
        <w:t xml:space="preserve"> </w:t>
      </w:r>
      <m:oMath>
        <m:r>
          <m:t>p</m:t>
        </m:r>
      </m:oMath>
      <w:r>
        <w:t xml:space="preserve">-values were converted to family-wise</w:t>
      </w:r>
      <w:r>
        <w:t xml:space="preserve"> </w:t>
      </w:r>
      <m:oMath>
        <m:r>
          <m:t>q</m:t>
        </m:r>
      </m:oMath>
      <w:r>
        <w:t xml:space="preserve">-values via Benjamini-Hochberg correction within each comparison family [3,11]. The</w:t>
      </w:r>
      <w:r>
        <w:t xml:space="preserve"> </w:t>
      </w:r>
      <w:r>
        <w:rPr>
          <w:rStyle w:val="VerbatimChar"/>
        </w:rPr>
        <w:t xml:space="preserve">de</w:t>
      </w:r>
      <w:r>
        <w:t xml:space="preserve"> </w:t>
      </w:r>
      <w:r>
        <w:t xml:space="preserve">subcommand also exposes a</w:t>
      </w:r>
      <w:r>
        <w:t xml:space="preserve"> </w:t>
      </w:r>
      <w:r>
        <w:rPr>
          <w:rStyle w:val="VerbatimChar"/>
        </w:rPr>
        <w:t xml:space="preserve">moderated</w:t>
      </w:r>
      <w:r>
        <w:t xml:space="preserve"> </w:t>
      </w:r>
      <w:r>
        <w:t xml:space="preserve">alternative that shrinks the per-protein paired-difference variance toward a pooled prior with configurable prior degrees of freedom, and a</w:t>
      </w:r>
      <w:r>
        <w:t xml:space="preserve"> </w:t>
      </w:r>
      <w:r>
        <w:rPr>
          <w:rStyle w:val="VerbatimChar"/>
        </w:rPr>
        <w:t xml:space="preserve">welch-t</w:t>
      </w:r>
      <w:r>
        <w:t xml:space="preserve"> </w:t>
      </w:r>
      <w:r>
        <w:t xml:space="preserve">alternative for unpaired two-sample designs with</w:t>
      </w:r>
    </w:p>
    <w:p>
      <w:pPr>
        <w:pStyle w:val="BodyText"/>
      </w:pPr>
      <m:oMathPara>
        <m:oMathParaPr>
          <m:jc m:val="center"/>
        </m:oMathParaPr>
        <m:oMath>
          <m:r>
            <m:t>t</m:t>
          </m:r>
          <m:r>
            <m:rPr>
              <m:sty m:val="p"/>
            </m:rPr>
            <m:t>=</m:t>
          </m:r>
          <m:f>
            <m:fPr>
              <m:type m:val="bar"/>
            </m:fPr>
            <m:num>
              <m:sSub>
                <m:e>
                  <m:acc>
                    <m:accPr>
                      <m:chr m:val="‾"/>
                    </m:accPr>
                    <m:e>
                      <m:r>
                        <m:t>x</m:t>
                      </m:r>
                    </m:e>
                  </m:acc>
                </m:e>
                <m:sub>
                  <m:r>
                    <m:t>A</m:t>
                  </m:r>
                </m:sub>
              </m:sSub>
              <m:r>
                <m:rPr>
                  <m:sty m:val="p"/>
                </m:rPr>
                <m:t>−</m:t>
              </m:r>
              <m:sSub>
                <m:e>
                  <m:acc>
                    <m:accPr>
                      <m:chr m:val="‾"/>
                    </m:accPr>
                    <m:e>
                      <m:r>
                        <m:t>x</m:t>
                      </m:r>
                    </m:e>
                  </m:acc>
                </m:e>
                <m:sub>
                  <m:r>
                    <m:t>B</m:t>
                  </m:r>
                </m:sub>
              </m:sSub>
            </m:num>
            <m:den>
              <m:rad>
                <m:radPr>
                  <m:degHide m:val="on"/>
                </m:radPr>
                <m:deg/>
                <m:e>
                  <m:sSubSup>
                    <m:e>
                      <m:r>
                        <m:t>s</m:t>
                      </m:r>
                    </m:e>
                    <m:sub>
                      <m:r>
                        <m:t>A</m:t>
                      </m:r>
                    </m:sub>
                    <m:sup>
                      <m:r>
                        <m:t>2</m:t>
                      </m:r>
                    </m:sup>
                  </m:sSubSup>
                  <m:r>
                    <m:rPr>
                      <m:sty m:val="p"/>
                    </m:rPr>
                    <m:t>/</m:t>
                  </m:r>
                  <m:sSub>
                    <m:e>
                      <m:r>
                        <m:t>n</m:t>
                      </m:r>
                    </m:e>
                    <m:sub>
                      <m:r>
                        <m:t>A</m:t>
                      </m:r>
                    </m:sub>
                  </m:sSub>
                  <m:r>
                    <m:rPr>
                      <m:sty m:val="p"/>
                    </m:rPr>
                    <m:t>+</m:t>
                  </m:r>
                  <m:sSubSup>
                    <m:e>
                      <m:r>
                        <m:t>s</m:t>
                      </m:r>
                    </m:e>
                    <m:sub>
                      <m:r>
                        <m:t>B</m:t>
                      </m:r>
                    </m:sub>
                    <m:sup>
                      <m:r>
                        <m:t>2</m:t>
                      </m:r>
                    </m:sup>
                  </m:sSubSup>
                  <m:r>
                    <m:rPr>
                      <m:sty m:val="p"/>
                    </m:rPr>
                    <m:t>/</m:t>
                  </m:r>
                  <m:sSub>
                    <m:e>
                      <m:r>
                        <m:t>n</m:t>
                      </m:r>
                    </m:e>
                    <m:sub>
                      <m:r>
                        <m:t>B</m:t>
                      </m:r>
                    </m:sub>
                  </m:sSub>
                </m:e>
              </m:rad>
            </m:den>
          </m:f>
          <m:r>
            <m:rPr>
              <m:sty m:val="p"/>
            </m:rPr>
            <m:t>,</m:t>
          </m:r>
          <m:r>
            <m:t>  </m:t>
          </m:r>
          <m:r>
            <m:t>ν</m:t>
          </m:r>
          <m:r>
            <m:rPr>
              <m:sty m:val="p"/>
            </m:rPr>
            <m:t>=</m:t>
          </m:r>
          <m:f>
            <m:fPr>
              <m:type m:val="bar"/>
            </m:fPr>
            <m:num>
              <m:r>
                <m:rPr>
                  <m:sty m:val="p"/>
                </m:rPr>
                <m:t>(</m:t>
              </m:r>
              <m:sSubSup>
                <m:e>
                  <m:r>
                    <m:t>s</m:t>
                  </m:r>
                </m:e>
                <m:sub>
                  <m:r>
                    <m:t>A</m:t>
                  </m:r>
                </m:sub>
                <m:sup>
                  <m:r>
                    <m:t>2</m:t>
                  </m:r>
                </m:sup>
              </m:sSubSup>
              <m:r>
                <m:rPr>
                  <m:sty m:val="p"/>
                </m:rPr>
                <m:t>/</m:t>
              </m:r>
              <m:sSub>
                <m:e>
                  <m:r>
                    <m:t>n</m:t>
                  </m:r>
                </m:e>
                <m:sub>
                  <m:r>
                    <m:t>A</m:t>
                  </m:r>
                </m:sub>
              </m:sSub>
              <m:r>
                <m:rPr>
                  <m:sty m:val="p"/>
                </m:rPr>
                <m:t>+</m:t>
              </m:r>
              <m:sSubSup>
                <m:e>
                  <m:r>
                    <m:t>s</m:t>
                  </m:r>
                </m:e>
                <m:sub>
                  <m:r>
                    <m:t>B</m:t>
                  </m:r>
                </m:sub>
                <m:sup>
                  <m:r>
                    <m:t>2</m:t>
                  </m:r>
                </m:sup>
              </m:sSubSup>
              <m:r>
                <m:rPr>
                  <m:sty m:val="p"/>
                </m:rPr>
                <m:t>/</m:t>
              </m:r>
              <m:sSub>
                <m:e>
                  <m:r>
                    <m:t>n</m:t>
                  </m:r>
                </m:e>
                <m:sub>
                  <m:r>
                    <m:t>B</m:t>
                  </m:r>
                </m:sub>
              </m:sSub>
              <m:sSup>
                <m:e>
                  <m:r>
                    <m:rPr>
                      <m:sty m:val="p"/>
                    </m:rPr>
                    <m:t>)</m:t>
                  </m:r>
                </m:e>
                <m:sup>
                  <m:r>
                    <m:t>2</m:t>
                  </m:r>
                </m:sup>
              </m:sSup>
            </m:num>
            <m:den>
              <m:r>
                <m:rPr>
                  <m:sty m:val="p"/>
                </m:rPr>
                <m:t>(</m:t>
              </m:r>
              <m:sSubSup>
                <m:e>
                  <m:r>
                    <m:t>s</m:t>
                  </m:r>
                </m:e>
                <m:sub>
                  <m:r>
                    <m:t>A</m:t>
                  </m:r>
                </m:sub>
                <m:sup>
                  <m:r>
                    <m:t>2</m:t>
                  </m:r>
                </m:sup>
              </m:sSubSup>
              <m:r>
                <m:rPr>
                  <m:sty m:val="p"/>
                </m:rPr>
                <m:t>/</m:t>
              </m:r>
              <m:sSub>
                <m:e>
                  <m:r>
                    <m:t>n</m:t>
                  </m:r>
                </m:e>
                <m:sub>
                  <m:r>
                    <m:t>A</m:t>
                  </m:r>
                </m:sub>
              </m:sSub>
              <m:sSup>
                <m:e>
                  <m:r>
                    <m:rPr>
                      <m:sty m:val="p"/>
                    </m:rPr>
                    <m:t>)</m:t>
                  </m:r>
                </m:e>
                <m:sup>
                  <m:r>
                    <m:t>2</m:t>
                  </m:r>
                </m:sup>
              </m:sSup>
              <m:r>
                <m:rPr>
                  <m:sty m:val="p"/>
                </m:rPr>
                <m:t>/</m:t>
              </m:r>
              <m:r>
                <m:rPr>
                  <m:sty m:val="p"/>
                </m:rPr>
                <m:t>(</m:t>
              </m:r>
              <m:sSub>
                <m:e>
                  <m:r>
                    <m:t>n</m:t>
                  </m:r>
                </m:e>
                <m:sub>
                  <m:r>
                    <m:t>A</m:t>
                  </m:r>
                </m:sub>
              </m:sSub>
              <m:r>
                <m:rPr>
                  <m:sty m:val="p"/>
                </m:rPr>
                <m:t>−</m:t>
              </m:r>
              <m:r>
                <m:t>1</m:t>
              </m:r>
              <m:r>
                <m:rPr>
                  <m:sty m:val="p"/>
                </m:rPr>
                <m:t>)</m:t>
              </m:r>
              <m:r>
                <m:rPr>
                  <m:sty m:val="p"/>
                </m:rPr>
                <m:t>+</m:t>
              </m:r>
              <m:r>
                <m:rPr>
                  <m:sty m:val="p"/>
                </m:rPr>
                <m:t>(</m:t>
              </m:r>
              <m:sSubSup>
                <m:e>
                  <m:r>
                    <m:t>s</m:t>
                  </m:r>
                </m:e>
                <m:sub>
                  <m:r>
                    <m:t>B</m:t>
                  </m:r>
                </m:sub>
                <m:sup>
                  <m:r>
                    <m:t>2</m:t>
                  </m:r>
                </m:sup>
              </m:sSubSup>
              <m:r>
                <m:rPr>
                  <m:sty m:val="p"/>
                </m:rPr>
                <m:t>/</m:t>
              </m:r>
              <m:sSub>
                <m:e>
                  <m:r>
                    <m:t>n</m:t>
                  </m:r>
                </m:e>
                <m:sub>
                  <m:r>
                    <m:t>B</m:t>
                  </m:r>
                </m:sub>
              </m:sSub>
              <m:sSup>
                <m:e>
                  <m:r>
                    <m:rPr>
                      <m:sty m:val="p"/>
                    </m:rPr>
                    <m:t>)</m:t>
                  </m:r>
                </m:e>
                <m:sup>
                  <m:r>
                    <m:t>2</m:t>
                  </m:r>
                </m:sup>
              </m:sSup>
              <m:r>
                <m:rPr>
                  <m:sty m:val="p"/>
                </m:rPr>
                <m:t>/</m:t>
              </m:r>
              <m:r>
                <m:rPr>
                  <m:sty m:val="p"/>
                </m:rPr>
                <m:t>(</m:t>
              </m:r>
              <m:sSub>
                <m:e>
                  <m:r>
                    <m:t>n</m:t>
                  </m:r>
                </m:e>
                <m:sub>
                  <m:r>
                    <m:t>B</m:t>
                  </m:r>
                </m:sub>
              </m:sSub>
              <m:r>
                <m:rPr>
                  <m:sty m:val="p"/>
                </m:rPr>
                <m:t>−</m:t>
              </m:r>
              <m:r>
                <m:t>1</m:t>
              </m:r>
              <m:r>
                <m:rPr>
                  <m:sty m:val="p"/>
                </m:rPr>
                <m:t>)</m:t>
              </m:r>
            </m:den>
          </m:f>
        </m:oMath>
      </m:oMathPara>
    </w:p>
    <w:p>
      <w:pPr>
        <w:pStyle w:val="FirstParagraph"/>
      </w:pPr>
      <w:r>
        <w:t xml:space="preserve">(Welch-Satterthwaite degrees of freedom). All three modes apply BH-FDR within each contrast family and share the same</w:t>
      </w:r>
      <w:r>
        <w:t xml:space="preserve"> </w:t>
      </w:r>
      <w:r>
        <w:rPr>
          <w:rStyle w:val="VerbatimChar"/>
        </w:rPr>
        <w:t xml:space="preserve">de_results.tsv</w:t>
      </w:r>
      <w:r>
        <w:t xml:space="preserve"> </w:t>
      </w:r>
      <w:r>
        <w:t xml:space="preserve">output schema.</w:t>
      </w:r>
    </w:p>
    <w:bookmarkEnd w:id="31"/>
    <w:bookmarkStart w:id="32" w:name="robustness-protocol"/>
    <w:p>
      <w:pPr>
        <w:pStyle w:val="Heading3"/>
      </w:pPr>
      <w:r>
        <w:t xml:space="preserve">Robustness protocol</w:t>
      </w:r>
    </w:p>
    <w:p>
      <w:pPr>
        <w:pStyle w:val="FirstParagraph"/>
      </w:pPr>
      <w:r>
        <w:t xml:space="preserve">Let</w:t>
      </w:r>
      <w:r>
        <w:t xml:space="preserve"> </w:t>
      </w:r>
      <m:oMath>
        <m:sSubSup>
          <m:e>
            <m:acc>
              <m:accPr>
                <m:chr m:val="‾"/>
              </m:accPr>
              <m:e>
                <m:r>
                  <m:t>d</m:t>
                </m:r>
              </m:e>
            </m:acc>
          </m:e>
          <m:sub>
            <m:r>
              <m:t>i</m:t>
            </m:r>
            <m:r>
              <m:rPr>
                <m:sty m:val="p"/>
              </m:rPr>
              <m:t>,</m:t>
            </m:r>
            <m:r>
              <m:t>c</m:t>
            </m:r>
          </m:sub>
          <m:sup>
            <m:r>
              <m:rPr>
                <m:sty m:val="p"/>
              </m:rPr>
              <m:t>(</m:t>
            </m:r>
            <m:r>
              <m:t>0</m:t>
            </m:r>
            <m:r>
              <m:rPr>
                <m:sty m:val="p"/>
              </m:rPr>
              <m:t>)</m:t>
            </m:r>
          </m:sup>
        </m:sSubSup>
      </m:oMath>
      <w:r>
        <w:t xml:space="preserve"> </w:t>
      </w:r>
      <w:r>
        <w:t xml:space="preserve">and</w:t>
      </w:r>
      <w:r>
        <w:t xml:space="preserve"> </w:t>
      </w:r>
      <m:oMath>
        <m:sSubSup>
          <m:e>
            <m:r>
              <m:t>q</m:t>
            </m:r>
          </m:e>
          <m:sub>
            <m:r>
              <m:t>i</m:t>
            </m:r>
            <m:r>
              <m:rPr>
                <m:sty m:val="p"/>
              </m:rPr>
              <m:t>,</m:t>
            </m:r>
            <m:r>
              <m:t>c</m:t>
            </m:r>
          </m:sub>
          <m:sup>
            <m:r>
              <m:rPr>
                <m:sty m:val="p"/>
              </m:rPr>
              <m:t>(</m:t>
            </m:r>
            <m:r>
              <m:t>0</m:t>
            </m:r>
            <m:r>
              <m:rPr>
                <m:sty m:val="p"/>
              </m:rPr>
              <m:t>)</m:t>
            </m:r>
          </m:sup>
        </m:sSubSup>
      </m:oMath>
      <w:r>
        <w:t xml:space="preserve"> </w:t>
      </w:r>
      <w:r>
        <w:t xml:space="preserve">denote the baseline effect and adjusted</w:t>
      </w:r>
      <w:r>
        <w:t xml:space="preserve"> </w:t>
      </w:r>
      <m:oMath>
        <m:r>
          <m:t>p</m:t>
        </m:r>
      </m:oMath>
      <w:r>
        <w:t xml:space="preserve">-value for protein</w:t>
      </w:r>
      <w:r>
        <w:t xml:space="preserve"> </w:t>
      </w:r>
      <m:oMath>
        <m:r>
          <m:t>i</m:t>
        </m:r>
      </m:oMath>
      <w:r>
        <w:t xml:space="preserve"> </w:t>
      </w:r>
      <w:r>
        <w:t xml:space="preserve">in comparison</w:t>
      </w:r>
      <w:r>
        <w:t xml:space="preserve"> </w:t>
      </w:r>
      <m:oMath>
        <m:r>
          <m:t>c</m:t>
        </m:r>
      </m:oMath>
      <w:r>
        <w:t xml:space="preserve">, and</w:t>
      </w:r>
      <w:r>
        <w:t xml:space="preserve"> </w:t>
      </w:r>
      <m:oMath>
        <m:sSubSup>
          <m:e>
            <m:acc>
              <m:accPr>
                <m:chr m:val="‾"/>
              </m:accPr>
              <m:e>
                <m:r>
                  <m:t>d</m:t>
                </m:r>
              </m:e>
            </m:acc>
          </m:e>
          <m:sub>
            <m:r>
              <m:t>i</m:t>
            </m:r>
            <m:r>
              <m:rPr>
                <m:sty m:val="p"/>
              </m:rPr>
              <m:t>,</m:t>
            </m:r>
            <m:r>
              <m:t>c</m:t>
            </m:r>
          </m:sub>
          <m:sup>
            <m:r>
              <m:rPr>
                <m:sty m:val="p"/>
              </m:rPr>
              <m:t>(</m:t>
            </m:r>
            <m:r>
              <m:t>k</m:t>
            </m:r>
            <m:r>
              <m:rPr>
                <m:sty m:val="p"/>
              </m:rPr>
              <m:t>)</m:t>
            </m:r>
          </m:sup>
        </m:sSubSup>
      </m:oMath>
      <w:r>
        <w:t xml:space="preserve">,</w:t>
      </w:r>
      <w:r>
        <w:t xml:space="preserve"> </w:t>
      </w:r>
      <m:oMath>
        <m:sSubSup>
          <m:e>
            <m:r>
              <m:t>q</m:t>
            </m:r>
          </m:e>
          <m:sub>
            <m:r>
              <m:t>i</m:t>
            </m:r>
            <m:r>
              <m:rPr>
                <m:sty m:val="p"/>
              </m:rPr>
              <m:t>,</m:t>
            </m:r>
            <m:r>
              <m:t>c</m:t>
            </m:r>
          </m:sub>
          <m:sup>
            <m:r>
              <m:rPr>
                <m:sty m:val="p"/>
              </m:rPr>
              <m:t>(</m:t>
            </m:r>
            <m:r>
              <m:t>k</m:t>
            </m:r>
            <m:r>
              <m:rPr>
                <m:sty m:val="p"/>
              </m:rPr>
              <m:t>)</m:t>
            </m:r>
          </m:sup>
        </m:sSubSup>
      </m:oMath>
      <w:r>
        <w:t xml:space="preserve"> </w:t>
      </w:r>
      <w:r>
        <w:t xml:space="preserve">the corresponding values under leave-one-subject-out rerun</w:t>
      </w:r>
      <w:r>
        <w:t xml:space="preserve"> </w:t>
      </w:r>
      <m:oMath>
        <m:r>
          <m:t>k</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(here</w:t>
      </w:r>
      <w:r>
        <w:t xml:space="preserve"> </w:t>
      </w:r>
      <m:oMath>
        <m:r>
          <m:t>K</m:t>
        </m:r>
        <m:r>
          <m:rPr>
            <m:sty m:val="p"/>
          </m:rPr>
          <m:t>=</m:t>
        </m:r>
        <m:r>
          <m:t>10</m:t>
        </m:r>
      </m:oMath>
      <w:r>
        <w:t xml:space="preserve">, one rerun per excluded participant).</w:t>
      </w:r>
    </w:p>
    <w:p>
      <w:pPr>
        <w:pStyle w:val="BodyText"/>
      </w:pPr>
      <w:r>
        <w:rPr>
          <w:b/>
          <w:bCs/>
        </w:rPr>
        <w:t xml:space="preserve">LOO sign stability.</w:t>
      </w:r>
      <w:r>
        <w:t xml:space="preserve"> </w:t>
      </w:r>
      <w:r>
        <w:t xml:space="preserve">For each protein</w:t>
      </w:r>
      <w:r>
        <w:t xml:space="preserve"> </w:t>
      </w:r>
      <m:oMath>
        <m:r>
          <m:t>i</m:t>
        </m:r>
      </m:oMath>
      <w:r>
        <w:t xml:space="preserve"> </w:t>
      </w:r>
      <w:r>
        <w:t xml:space="preserve">and contrast</w:t>
      </w:r>
      <w:r>
        <w:t xml:space="preserve"> </w:t>
      </w:r>
      <m:oMath>
        <m:r>
          <m:t>c</m:t>
        </m:r>
      </m:oMath>
      <w:r>
        <w:t xml:space="preserve">:</w:t>
      </w:r>
    </w:p>
    <w:p>
      <w:pPr>
        <w:pStyle w:val="BodyText"/>
      </w:pPr>
      <m:oMathPara>
        <m:oMathParaPr>
          <m:jc m:val="center"/>
        </m:oMathParaPr>
        <m:oMath>
          <m:sSub>
            <m:e>
              <m:r>
                <m:rPr>
                  <m:sty m:val="p"/>
                </m:rPr>
                <m:t>S</m:t>
              </m:r>
              <m:r>
                <m:rPr>
                  <m:sty m:val="p"/>
                </m:rPr>
                <m:t>S</m:t>
              </m:r>
              <m:r>
                <m:rPr>
                  <m:sty m:val="p"/>
                </m:rPr>
                <m:t>R</m:t>
              </m:r>
            </m:e>
            <m:sub>
              <m:r>
                <m:t>i</m:t>
              </m:r>
              <m:r>
                <m:rPr>
                  <m:sty m:val="p"/>
                </m:rPr>
                <m:t>,</m:t>
              </m:r>
              <m:r>
                <m:t>c</m:t>
              </m:r>
            </m:sub>
          </m:sSub>
          <m:r>
            <m:rPr>
              <m:sty m:val="p"/>
            </m:rPr>
            <m:t>=</m:t>
          </m:r>
          <m:f>
            <m:fPr>
              <m:type m:val="bar"/>
            </m:fPr>
            <m:num>
              <m:r>
                <m:t>1</m:t>
              </m:r>
            </m:num>
            <m:den>
              <m:sSub>
                <m:e>
                  <m:r>
                    <m:t>K</m:t>
                  </m:r>
                </m:e>
                <m:sub>
                  <m:r>
                    <m:t>i</m:t>
                  </m:r>
                  <m:r>
                    <m:rPr>
                      <m:sty m:val="p"/>
                    </m:rPr>
                    <m:t>,</m:t>
                  </m:r>
                  <m:r>
                    <m:t>c</m:t>
                  </m:r>
                </m:sub>
              </m:sSub>
            </m:den>
          </m:f>
          <m:nary>
            <m:naryPr>
              <m:chr m:val="∑"/>
              <m:limLoc m:val="undOvr"/>
              <m:subHide m:val="off"/>
              <m:supHide m:val="off"/>
            </m:naryPr>
            <m:sub>
              <m:r>
                <m:t>k</m:t>
              </m:r>
              <m:r>
                <m:rPr>
                  <m:sty m:val="p"/>
                </m:rPr>
                <m:t>=</m:t>
              </m:r>
              <m:r>
                <m:t>1</m:t>
              </m:r>
            </m:sub>
            <m:sup>
              <m:r>
                <m:t>K</m:t>
              </m:r>
            </m:sup>
            <m:e>
              <m:r>
                <m:rPr>
                  <m:scr m:val="double-struck"/>
                  <m:sty m:val="p"/>
                </m:rPr>
                <m:t>1</m:t>
              </m:r>
            </m:e>
          </m:nary>
          <m:r>
            <m:t>​</m:t>
          </m:r>
          <m:d>
            <m:dPr>
              <m:begChr m:val="["/>
              <m:sepChr m:val=""/>
              <m:endChr m:val="]"/>
              <m:grow/>
            </m:dPr>
            <m:e>
              <m:r>
                <m:t> </m:t>
              </m:r>
              <m:r>
                <m:rPr>
                  <m:sty m:val="p"/>
                </m:rPr>
                <m:t>sgn</m:t>
              </m:r>
              <m:r>
                <m:rPr>
                  <m:sty m:val="p"/>
                </m:rPr>
                <m:t>(</m:t>
              </m:r>
              <m:sSubSup>
                <m:e>
                  <m:acc>
                    <m:accPr>
                      <m:chr m:val="‾"/>
                    </m:accPr>
                    <m:e>
                      <m:r>
                        <m:t>d</m:t>
                      </m:r>
                    </m:e>
                  </m:acc>
                </m:e>
                <m:sub>
                  <m:r>
                    <m:t>i</m:t>
                  </m:r>
                  <m:r>
                    <m:rPr>
                      <m:sty m:val="p"/>
                    </m:rPr>
                    <m:t>,</m:t>
                  </m:r>
                  <m:r>
                    <m:t>c</m:t>
                  </m:r>
                </m:sub>
                <m:sup>
                  <m:r>
                    <m:rPr>
                      <m:sty m:val="p"/>
                    </m:rPr>
                    <m:t>(</m:t>
                  </m:r>
                  <m:r>
                    <m:t>0</m:t>
                  </m:r>
                  <m:r>
                    <m:rPr>
                      <m:sty m:val="p"/>
                    </m:rPr>
                    <m:t>)</m:t>
                  </m:r>
                </m:sup>
              </m:sSubSup>
              <m:r>
                <m:rPr>
                  <m:sty m:val="p"/>
                </m:rPr>
                <m:t>)</m:t>
              </m:r>
              <m:r>
                <m:rPr>
                  <m:sty m:val="p"/>
                </m:rPr>
                <m:t>=</m:t>
              </m:r>
              <m:r>
                <m:rPr>
                  <m:sty m:val="p"/>
                </m:rPr>
                <m:t>sgn</m:t>
              </m:r>
              <m:r>
                <m:rPr>
                  <m:sty m:val="p"/>
                </m:rPr>
                <m:t>(</m:t>
              </m:r>
              <m:sSubSup>
                <m:e>
                  <m:acc>
                    <m:accPr>
                      <m:chr m:val="‾"/>
                    </m:accPr>
                    <m:e>
                      <m:r>
                        <m:t>d</m:t>
                      </m:r>
                    </m:e>
                  </m:acc>
                </m:e>
                <m:sub>
                  <m:r>
                    <m:t>i</m:t>
                  </m:r>
                  <m:r>
                    <m:rPr>
                      <m:sty m:val="p"/>
                    </m:rPr>
                    <m:t>,</m:t>
                  </m:r>
                  <m:r>
                    <m:t>c</m:t>
                  </m:r>
                </m:sub>
                <m:sup>
                  <m:r>
                    <m:rPr>
                      <m:sty m:val="p"/>
                    </m:rPr>
                    <m:t>(</m:t>
                  </m:r>
                  <m:r>
                    <m:t>k</m:t>
                  </m:r>
                  <m:r>
                    <m:rPr>
                      <m:sty m:val="p"/>
                    </m:rPr>
                    <m:t>)</m:t>
                  </m:r>
                </m:sup>
              </m:sSubSup>
              <m:r>
                <m:rPr>
                  <m:sty m:val="p"/>
                </m:rPr>
                <m:t>)</m:t>
              </m:r>
              <m:r>
                <m:rPr>
                  <m:sty m:val="p"/>
                </m:rPr>
                <m:t>,</m:t>
              </m:r>
              <m:r>
                <m:t> </m:t>
              </m:r>
              <m:sSubSup>
                <m:e>
                  <m:acc>
                    <m:accPr>
                      <m:chr m:val="‾"/>
                    </m:accPr>
                    <m:e>
                      <m:r>
                        <m:t>d</m:t>
                      </m:r>
                    </m:e>
                  </m:acc>
                </m:e>
                <m:sub>
                  <m:r>
                    <m:t>i</m:t>
                  </m:r>
                  <m:r>
                    <m:rPr>
                      <m:sty m:val="p"/>
                    </m:rPr>
                    <m:t>,</m:t>
                  </m:r>
                  <m:r>
                    <m:t>c</m:t>
                  </m:r>
                </m:sub>
                <m:sup>
                  <m:r>
                    <m:rPr>
                      <m:sty m:val="p"/>
                    </m:rPr>
                    <m:t>(</m:t>
                  </m:r>
                  <m:r>
                    <m:t>0</m:t>
                  </m:r>
                  <m:r>
                    <m:rPr>
                      <m:sty m:val="p"/>
                    </m:rPr>
                    <m:t>)</m:t>
                  </m:r>
                </m:sup>
              </m:sSubSup>
              <m:r>
                <m:rPr>
                  <m:sty m:val="p"/>
                </m:rPr>
                <m:t>≠</m:t>
              </m:r>
              <m:r>
                <m:t>0</m:t>
              </m:r>
              <m:r>
                <m:rPr>
                  <m:sty m:val="p"/>
                </m:rPr>
                <m:t>,</m:t>
              </m:r>
              <m:r>
                <m:t> </m:t>
              </m:r>
              <m:sSubSup>
                <m:e>
                  <m:acc>
                    <m:accPr>
                      <m:chr m:val="‾"/>
                    </m:accPr>
                    <m:e>
                      <m:r>
                        <m:t>d</m:t>
                      </m:r>
                    </m:e>
                  </m:acc>
                </m:e>
                <m:sub>
                  <m:r>
                    <m:t>i</m:t>
                  </m:r>
                  <m:r>
                    <m:rPr>
                      <m:sty m:val="p"/>
                    </m:rPr>
                    <m:t>,</m:t>
                  </m:r>
                  <m:r>
                    <m:t>c</m:t>
                  </m:r>
                </m:sub>
                <m:sup>
                  <m:r>
                    <m:rPr>
                      <m:sty m:val="p"/>
                    </m:rPr>
                    <m:t>(</m:t>
                  </m:r>
                  <m:r>
                    <m:t>k</m:t>
                  </m:r>
                  <m:r>
                    <m:rPr>
                      <m:sty m:val="p"/>
                    </m:rPr>
                    <m:t>)</m:t>
                  </m:r>
                </m:sup>
              </m:sSubSup>
              <m:r>
                <m:rPr>
                  <m:sty m:val="p"/>
                </m:rPr>
                <m:t>≠</m:t>
              </m:r>
              <m:r>
                <m:t>0</m:t>
              </m:r>
              <m:r>
                <m:t> </m:t>
              </m:r>
            </m:e>
          </m:d>
          <m:r>
            <m:rPr>
              <m:sty m:val="p"/>
            </m:rPr>
            <m:t>,</m:t>
          </m:r>
        </m:oMath>
      </m:oMathPara>
    </w:p>
    <w:p>
      <w:pPr>
        <w:pStyle w:val="FirstParagraph"/>
      </w:pPr>
      <w:r>
        <w:t xml:space="preserve">with</w:t>
      </w:r>
      <w:r>
        <w:t xml:space="preserve"> </w:t>
      </w:r>
      <m:oMath>
        <m:sSub>
          <m:e>
            <m:r>
              <m:t>K</m:t>
            </m:r>
          </m:e>
          <m:sub>
            <m:r>
              <m:t>i</m:t>
            </m:r>
            <m:r>
              <m:rPr>
                <m:sty m:val="p"/>
              </m:rPr>
              <m:t>,</m:t>
            </m:r>
            <m:r>
              <m:t>c</m:t>
            </m:r>
          </m:sub>
        </m:sSub>
      </m:oMath>
      <w:r>
        <w:t xml:space="preserve"> </w:t>
      </w:r>
      <w:r>
        <w:t xml:space="preserve">the number of LOO reruns in which both effects are defined and non-zero.</w:t>
      </w:r>
    </w:p>
    <w:p>
      <w:pPr>
        <w:pStyle w:val="BodyText"/>
      </w:pPr>
      <w:r>
        <w:rPr>
          <w:b/>
          <w:bCs/>
        </w:rPr>
        <w:t xml:space="preserve">Strict/relaxed hit retention.</w:t>
      </w:r>
      <w:r>
        <w:t xml:space="preserve"> </w:t>
      </w:r>
      <w:r>
        <w:t xml:space="preserve">For each baseline hit (</w:t>
      </w:r>
      <m:oMath>
        <m:sSubSup>
          <m:e>
            <m:r>
              <m:t>q</m:t>
            </m:r>
          </m:e>
          <m:sub>
            <m:r>
              <m:t>i</m:t>
            </m:r>
            <m:r>
              <m:rPr>
                <m:sty m:val="p"/>
              </m:rPr>
              <m:t>,</m:t>
            </m:r>
            <m:r>
              <m:t>c</m:t>
            </m:r>
          </m:sub>
          <m:sup>
            <m:r>
              <m:rPr>
                <m:sty m:val="p"/>
              </m:rPr>
              <m:t>(</m:t>
            </m:r>
            <m:r>
              <m:t>0</m:t>
            </m:r>
            <m:r>
              <m:rPr>
                <m:sty m:val="p"/>
              </m:rPr>
              <m:t>)</m:t>
            </m:r>
          </m:sup>
        </m:sSubSup>
        <m:r>
          <m:rPr>
            <m:sty m:val="p"/>
          </m:rPr>
          <m:t>&lt;</m:t>
        </m:r>
        <m:r>
          <m:t>0.05</m:t>
        </m:r>
      </m:oMath>
      <w:r>
        <w:t xml:space="preserve">):</w:t>
      </w:r>
    </w:p>
    <w:p>
      <w:pPr>
        <w:pStyle w:val="BodyText"/>
      </w:pPr>
      <m:oMathPara>
        <m:oMathParaPr>
          <m:jc m:val="center"/>
        </m:oMathParaPr>
        <m:oMath>
          <m:sSubSup>
            <m:e>
              <m:r>
                <m:rPr>
                  <m:sty m:val="p"/>
                </m:rPr>
                <m:t>R</m:t>
              </m:r>
              <m:r>
                <m:rPr>
                  <m:sty m:val="p"/>
                </m:rPr>
                <m:t>E</m:t>
              </m:r>
              <m:r>
                <m:rPr>
                  <m:sty m:val="p"/>
                </m:rPr>
                <m:t>T</m:t>
              </m:r>
            </m:e>
            <m:sub>
              <m:r>
                <m:t>i</m:t>
              </m:r>
              <m:r>
                <m:rPr>
                  <m:sty m:val="p"/>
                </m:rPr>
                <m:t>,</m:t>
              </m:r>
              <m:r>
                <m:t>c</m:t>
              </m:r>
            </m:sub>
            <m:sup>
              <m:r>
                <m:rPr>
                  <m:sty m:val="p"/>
                </m:rPr>
                <m:t>(</m:t>
              </m:r>
              <m:r>
                <m:t>α</m:t>
              </m:r>
              <m:r>
                <m:rPr>
                  <m:sty m:val="p"/>
                </m:rPr>
                <m:t>)</m:t>
              </m:r>
            </m:sup>
          </m:sSubSup>
          <m:r>
            <m:rPr>
              <m:sty m:val="p"/>
            </m:rPr>
            <m:t>=</m:t>
          </m:r>
          <m:nary>
            <m:naryPr>
              <m:chr m:val="∑"/>
              <m:limLoc m:val="undOvr"/>
              <m:subHide m:val="off"/>
              <m:supHide m:val="off"/>
            </m:naryPr>
            <m:sub>
              <m:r>
                <m:t>k</m:t>
              </m:r>
              <m:r>
                <m:rPr>
                  <m:sty m:val="p"/>
                </m:rPr>
                <m:t>=</m:t>
              </m:r>
              <m:r>
                <m:t>1</m:t>
              </m:r>
            </m:sub>
            <m:sup>
              <m:r>
                <m:t>K</m:t>
              </m:r>
            </m:sup>
            <m:e>
              <m:r>
                <m:rPr>
                  <m:scr m:val="double-struck"/>
                  <m:sty m:val="p"/>
                </m:rPr>
                <m:t>1</m:t>
              </m:r>
            </m:e>
          </m:nary>
          <m:r>
            <m:t>​</m:t>
          </m:r>
          <m:d>
            <m:dPr>
              <m:begChr m:val="["/>
              <m:sepChr m:val=""/>
              <m:endChr m:val="]"/>
              <m:grow/>
            </m:dPr>
            <m:e>
              <m:r>
                <m:t> </m:t>
              </m:r>
              <m:sSubSup>
                <m:e>
                  <m:r>
                    <m:t>q</m:t>
                  </m:r>
                </m:e>
                <m:sub>
                  <m:r>
                    <m:t>i</m:t>
                  </m:r>
                  <m:r>
                    <m:rPr>
                      <m:sty m:val="p"/>
                    </m:rPr>
                    <m:t>,</m:t>
                  </m:r>
                  <m:r>
                    <m:t>c</m:t>
                  </m:r>
                </m:sub>
                <m:sup>
                  <m:r>
                    <m:rPr>
                      <m:sty m:val="p"/>
                    </m:rPr>
                    <m:t>(</m:t>
                  </m:r>
                  <m:r>
                    <m:t>k</m:t>
                  </m:r>
                  <m:r>
                    <m:rPr>
                      <m:sty m:val="p"/>
                    </m:rPr>
                    <m:t>)</m:t>
                  </m:r>
                </m:sup>
              </m:sSubSup>
              <m:r>
                <m:rPr>
                  <m:sty m:val="p"/>
                </m:rPr>
                <m:t>&lt;</m:t>
              </m:r>
              <m:r>
                <m:t>α</m:t>
              </m:r>
              <m:r>
                <m:t> </m:t>
              </m:r>
            </m:e>
          </m:d>
          <m:r>
            <m:rPr>
              <m:sty m:val="p"/>
            </m:rPr>
            <m:t>,</m:t>
          </m:r>
          <m:r>
            <m:t>  </m:t>
          </m:r>
          <m:r>
            <m:t>α</m:t>
          </m:r>
          <m:r>
            <m:rPr>
              <m:sty m:val="p"/>
            </m:rPr>
            <m:t>∈</m:t>
          </m:r>
          <m:r>
            <m:rPr>
              <m:sty m:val="p"/>
            </m:rPr>
            <m:t>{</m:t>
          </m:r>
          <m:r>
            <m:t>0.05</m:t>
          </m:r>
          <m:r>
            <m:rPr>
              <m:sty m:val="p"/>
            </m:rPr>
            <m:t>,</m:t>
          </m:r>
          <m:r>
            <m:t> </m:t>
          </m:r>
          <m:r>
            <m:t>0.10</m:t>
          </m:r>
          <m:r>
            <m:rPr>
              <m:sty m:val="p"/>
            </m:rPr>
            <m:t>}</m:t>
          </m:r>
          <m:r>
            <m:rPr>
              <m:sty m:val="p"/>
            </m:rPr>
            <m:t>.</m:t>
          </m:r>
        </m:oMath>
      </m:oMathPara>
    </w:p>
    <w:p>
      <w:pPr>
        <w:pStyle w:val="FirstParagraph"/>
      </w:pPr>
      <w:r>
        <w:rPr>
          <w:b/>
          <w:bCs/>
        </w:rPr>
        <w:t xml:space="preserve">Top-</w:t>
      </w:r>
      <m:oMath>
        <m:r>
          <m:t>K</m:t>
        </m:r>
      </m:oMath>
      <w:r>
        <w:rPr>
          <w:b/>
          <w:bCs/>
        </w:rPr>
        <w:t xml:space="preserve"> </w:t>
      </w:r>
      <w:r>
        <w:rPr>
          <w:b/>
          <w:bCs/>
        </w:rPr>
        <w:t xml:space="preserve">rank overlap and Jaccard.</w:t>
      </w:r>
      <w:r>
        <w:t xml:space="preserve"> </w:t>
      </w:r>
      <w:r>
        <w:t xml:space="preserve">With</w:t>
      </w:r>
      <w:r>
        <w:t xml:space="preserve"> </w:t>
      </w:r>
      <m:oMath>
        <m:sSub>
          <m:e>
            <m:r>
              <m:rPr>
                <m:sty m:val="p"/>
              </m:rPr>
              <m:t>T</m:t>
            </m:r>
            <m:r>
              <m:rPr>
                <m:sty m:val="p"/>
              </m:rPr>
              <m:t>o</m:t>
            </m:r>
            <m:r>
              <m:rPr>
                <m:sty m:val="p"/>
              </m:rPr>
              <m:t>p</m:t>
            </m:r>
          </m:e>
          <m:sub>
            <m:r>
              <m:t>K</m:t>
            </m:r>
          </m:sub>
        </m:sSub>
        <m:r>
          <m:rPr>
            <m:sty m:val="p"/>
          </m:rPr>
          <m:t>(</m:t>
        </m:r>
        <m:r>
          <m:t>c</m:t>
        </m:r>
        <m:r>
          <m:rPr>
            <m:sty m:val="p"/>
          </m:rPr>
          <m:t>,</m:t>
        </m:r>
        <m:r>
          <m:t>k</m:t>
        </m:r>
        <m:r>
          <m:rPr>
            <m:sty m:val="p"/>
          </m:rPr>
          <m:t>)</m:t>
        </m:r>
      </m:oMath>
      <w:r>
        <w:t xml:space="preserve"> </w:t>
      </w:r>
      <w:r>
        <w:t xml:space="preserve">the set of</w:t>
      </w:r>
      <w:r>
        <w:t xml:space="preserve"> </w:t>
      </w:r>
      <m:oMath>
        <m:r>
          <m:t>K</m:t>
        </m:r>
      </m:oMath>
      <w:r>
        <w:t xml:space="preserve"> </w:t>
      </w:r>
      <w:r>
        <w:t xml:space="preserve">proteins with largest</w:t>
      </w:r>
      <w:r>
        <w:t xml:space="preserve"> </w:t>
      </w:r>
      <m:oMath>
        <m:r>
          <m:rPr>
            <m:sty m:val="p"/>
          </m:rPr>
          <m:t>|</m:t>
        </m:r>
        <m:sSubSup>
          <m:e>
            <m:acc>
              <m:accPr>
                <m:chr m:val="‾"/>
              </m:accPr>
              <m:e>
                <m:r>
                  <m:t>d</m:t>
                </m:r>
              </m:e>
            </m:acc>
          </m:e>
          <m:sub>
            <m:r>
              <m:t>i</m:t>
            </m:r>
            <m:r>
              <m:rPr>
                <m:sty m:val="p"/>
              </m:rPr>
              <m:t>,</m:t>
            </m:r>
            <m:r>
              <m:t>c</m:t>
            </m:r>
          </m:sub>
          <m:sup>
            <m:r>
              <m:rPr>
                <m:sty m:val="p"/>
              </m:rPr>
              <m:t>(</m:t>
            </m:r>
            <m:r>
              <m:t>k</m:t>
            </m:r>
            <m:r>
              <m:rPr>
                <m:sty m:val="p"/>
              </m:rPr>
              <m:t>)</m:t>
            </m:r>
          </m:sup>
        </m:sSubSup>
        <m:r>
          <m:rPr>
            <m:sty m:val="p"/>
          </m:rPr>
          <m:t>|</m:t>
        </m:r>
      </m:oMath>
      <w:r>
        <w:t xml:space="preserve"> </w:t>
      </w:r>
      <w:r>
        <w:t xml:space="preserve">in contrast</w:t>
      </w:r>
      <w:r>
        <w:t xml:space="preserve"> </w:t>
      </w:r>
      <m:oMath>
        <m:r>
          <m:t>c</m:t>
        </m:r>
      </m:oMath>
      <w:r>
        <w:t xml:space="preserve">:</w:t>
      </w:r>
    </w:p>
    <w:p>
      <w:pPr>
        <w:pStyle w:val="BodyText"/>
      </w:pPr>
      <m:oMathPara>
        <m:oMathParaPr>
          <m:jc m:val="center"/>
        </m:oMathParaPr>
        <m:oMath>
          <m:sSub>
            <m:e>
              <m:r>
                <m:rPr>
                  <m:sty m:val="p"/>
                </m:rPr>
                <m:t>O</m:t>
              </m:r>
              <m:r>
                <m:rPr>
                  <m:sty m:val="p"/>
                </m:rPr>
                <m:t>v</m:t>
              </m:r>
              <m:r>
                <m:rPr>
                  <m:sty m:val="p"/>
                </m:rPr>
                <m:t>e</m:t>
              </m:r>
              <m:r>
                <m:rPr>
                  <m:sty m:val="p"/>
                </m:rPr>
                <m:t>r</m:t>
              </m:r>
              <m:r>
                <m:rPr>
                  <m:sty m:val="p"/>
                </m:rPr>
                <m:t>l</m:t>
              </m:r>
              <m:r>
                <m:rPr>
                  <m:sty m:val="p"/>
                </m:rPr>
                <m:t>a</m:t>
              </m:r>
              <m:r>
                <m:rPr>
                  <m:sty m:val="p"/>
                </m:rPr>
                <m:t>p</m:t>
              </m:r>
            </m:e>
            <m:sub>
              <m:r>
                <m:t>c</m:t>
              </m:r>
            </m:sub>
          </m:sSub>
          <m:r>
            <m:rPr>
              <m:sty m:val="p"/>
            </m:rPr>
            <m:t>(</m:t>
          </m:r>
          <m:r>
            <m:t>k</m:t>
          </m:r>
          <m:r>
            <m:rPr>
              <m:sty m:val="p"/>
            </m:rPr>
            <m:t>)</m:t>
          </m:r>
          <m:r>
            <m:rPr>
              <m:sty m:val="p"/>
            </m:rPr>
            <m:t>=</m:t>
          </m:r>
          <m:r>
            <m:rPr>
              <m:sty m:val="p"/>
            </m:rPr>
            <m:t>|</m:t>
          </m:r>
          <m:sSub>
            <m:e>
              <m:r>
                <m:rPr>
                  <m:sty m:val="p"/>
                </m:rPr>
                <m:t>T</m:t>
              </m:r>
              <m:r>
                <m:rPr>
                  <m:sty m:val="p"/>
                </m:rPr>
                <m:t>o</m:t>
              </m:r>
              <m:r>
                <m:rPr>
                  <m:sty m:val="p"/>
                </m:rPr>
                <m:t>p</m:t>
              </m:r>
            </m:e>
            <m:sub>
              <m:r>
                <m:t>K</m:t>
              </m:r>
            </m:sub>
          </m:sSub>
          <m:r>
            <m:rPr>
              <m:sty m:val="p"/>
            </m:rPr>
            <m:t>(</m:t>
          </m:r>
          <m:r>
            <m:t>c</m:t>
          </m:r>
          <m:r>
            <m:rPr>
              <m:sty m:val="p"/>
            </m:rPr>
            <m:t>,</m:t>
          </m:r>
          <m:r>
            <m:t>0</m:t>
          </m:r>
          <m:r>
            <m:rPr>
              <m:sty m:val="p"/>
            </m:rPr>
            <m:t>)</m:t>
          </m:r>
          <m:r>
            <m:rPr>
              <m:sty m:val="p"/>
            </m:rPr>
            <m:t>∩</m:t>
          </m:r>
          <m:sSub>
            <m:e>
              <m:r>
                <m:rPr>
                  <m:sty m:val="p"/>
                </m:rPr>
                <m:t>T</m:t>
              </m:r>
              <m:r>
                <m:rPr>
                  <m:sty m:val="p"/>
                </m:rPr>
                <m:t>o</m:t>
              </m:r>
              <m:r>
                <m:rPr>
                  <m:sty m:val="p"/>
                </m:rPr>
                <m:t>p</m:t>
              </m:r>
            </m:e>
            <m:sub>
              <m:r>
                <m:t>K</m:t>
              </m:r>
            </m:sub>
          </m:sSub>
          <m:r>
            <m:rPr>
              <m:sty m:val="p"/>
            </m:rPr>
            <m:t>(</m:t>
          </m:r>
          <m:r>
            <m:t>c</m:t>
          </m:r>
          <m:r>
            <m:rPr>
              <m:sty m:val="p"/>
            </m:rPr>
            <m:t>,</m:t>
          </m:r>
          <m:r>
            <m:t>k</m:t>
          </m:r>
          <m:r>
            <m:rPr>
              <m:sty m:val="p"/>
            </m:rPr>
            <m:t>)</m:t>
          </m:r>
          <m:r>
            <m:rPr>
              <m:sty m:val="p"/>
            </m:rPr>
            <m:t>|</m:t>
          </m:r>
          <m:r>
            <m:rPr>
              <m:sty m:val="p"/>
            </m:rPr>
            <m:t>,</m:t>
          </m:r>
          <m:r>
            <m:t>  </m:t>
          </m:r>
          <m:sSub>
            <m:e>
              <m:r>
                <m:t>J</m:t>
              </m:r>
            </m:e>
            <m:sub>
              <m:r>
                <m:t>c</m:t>
              </m:r>
            </m:sub>
          </m:sSub>
          <m:r>
            <m:rPr>
              <m:sty m:val="p"/>
            </m:rPr>
            <m:t>(</m:t>
          </m:r>
          <m:r>
            <m:t>k</m:t>
          </m:r>
          <m:r>
            <m:rPr>
              <m:sty m:val="p"/>
            </m:rPr>
            <m:t>)</m:t>
          </m:r>
          <m:r>
            <m:rPr>
              <m:sty m:val="p"/>
            </m:rPr>
            <m:t>=</m:t>
          </m:r>
          <m:f>
            <m:fPr>
              <m:type m:val="bar"/>
            </m:fPr>
            <m:num>
              <m:r>
                <m:rPr>
                  <m:sty m:val="p"/>
                </m:rPr>
                <m:t>|</m:t>
              </m:r>
              <m:sSub>
                <m:e>
                  <m:r>
                    <m:rPr>
                      <m:sty m:val="p"/>
                    </m:rPr>
                    <m:t>T</m:t>
                  </m:r>
                  <m:r>
                    <m:rPr>
                      <m:sty m:val="p"/>
                    </m:rPr>
                    <m:t>o</m:t>
                  </m:r>
                  <m:r>
                    <m:rPr>
                      <m:sty m:val="p"/>
                    </m:rPr>
                    <m:t>p</m:t>
                  </m:r>
                </m:e>
                <m:sub>
                  <m:r>
                    <m:t>K</m:t>
                  </m:r>
                </m:sub>
              </m:sSub>
              <m:r>
                <m:rPr>
                  <m:sty m:val="p"/>
                </m:rPr>
                <m:t>(</m:t>
              </m:r>
              <m:r>
                <m:t>c</m:t>
              </m:r>
              <m:r>
                <m:rPr>
                  <m:sty m:val="p"/>
                </m:rPr>
                <m:t>,</m:t>
              </m:r>
              <m:r>
                <m:t>0</m:t>
              </m:r>
              <m:r>
                <m:rPr>
                  <m:sty m:val="p"/>
                </m:rPr>
                <m:t>)</m:t>
              </m:r>
              <m:r>
                <m:rPr>
                  <m:sty m:val="p"/>
                </m:rPr>
                <m:t>∩</m:t>
              </m:r>
              <m:sSub>
                <m:e>
                  <m:r>
                    <m:rPr>
                      <m:sty m:val="p"/>
                    </m:rPr>
                    <m:t>T</m:t>
                  </m:r>
                  <m:r>
                    <m:rPr>
                      <m:sty m:val="p"/>
                    </m:rPr>
                    <m:t>o</m:t>
                  </m:r>
                  <m:r>
                    <m:rPr>
                      <m:sty m:val="p"/>
                    </m:rPr>
                    <m:t>p</m:t>
                  </m:r>
                </m:e>
                <m:sub>
                  <m:r>
                    <m:t>K</m:t>
                  </m:r>
                </m:sub>
              </m:sSub>
              <m:r>
                <m:rPr>
                  <m:sty m:val="p"/>
                </m:rPr>
                <m:t>(</m:t>
              </m:r>
              <m:r>
                <m:t>c</m:t>
              </m:r>
              <m:r>
                <m:rPr>
                  <m:sty m:val="p"/>
                </m:rPr>
                <m:t>,</m:t>
              </m:r>
              <m:r>
                <m:t>k</m:t>
              </m:r>
              <m:r>
                <m:rPr>
                  <m:sty m:val="p"/>
                </m:rPr>
                <m:t>)</m:t>
              </m:r>
              <m:r>
                <m:rPr>
                  <m:sty m:val="p"/>
                </m:rPr>
                <m:t>|</m:t>
              </m:r>
            </m:num>
            <m:den>
              <m:r>
                <m:rPr>
                  <m:sty m:val="p"/>
                </m:rPr>
                <m:t>|</m:t>
              </m:r>
              <m:sSub>
                <m:e>
                  <m:r>
                    <m:rPr>
                      <m:sty m:val="p"/>
                    </m:rPr>
                    <m:t>T</m:t>
                  </m:r>
                  <m:r>
                    <m:rPr>
                      <m:sty m:val="p"/>
                    </m:rPr>
                    <m:t>o</m:t>
                  </m:r>
                  <m:r>
                    <m:rPr>
                      <m:sty m:val="p"/>
                    </m:rPr>
                    <m:t>p</m:t>
                  </m:r>
                </m:e>
                <m:sub>
                  <m:r>
                    <m:t>K</m:t>
                  </m:r>
                </m:sub>
              </m:sSub>
              <m:r>
                <m:rPr>
                  <m:sty m:val="p"/>
                </m:rPr>
                <m:t>(</m:t>
              </m:r>
              <m:r>
                <m:t>c</m:t>
              </m:r>
              <m:r>
                <m:rPr>
                  <m:sty m:val="p"/>
                </m:rPr>
                <m:t>,</m:t>
              </m:r>
              <m:r>
                <m:t>0</m:t>
              </m:r>
              <m:r>
                <m:rPr>
                  <m:sty m:val="p"/>
                </m:rPr>
                <m:t>)</m:t>
              </m:r>
              <m:r>
                <m:rPr>
                  <m:sty m:val="p"/>
                </m:rPr>
                <m:t>∪</m:t>
              </m:r>
              <m:sSub>
                <m:e>
                  <m:r>
                    <m:rPr>
                      <m:sty m:val="p"/>
                    </m:rPr>
                    <m:t>T</m:t>
                  </m:r>
                  <m:r>
                    <m:rPr>
                      <m:sty m:val="p"/>
                    </m:rPr>
                    <m:t>o</m:t>
                  </m:r>
                  <m:r>
                    <m:rPr>
                      <m:sty m:val="p"/>
                    </m:rPr>
                    <m:t>p</m:t>
                  </m:r>
                </m:e>
                <m:sub>
                  <m:r>
                    <m:t>K</m:t>
                  </m:r>
                </m:sub>
              </m:sSub>
              <m:r>
                <m:rPr>
                  <m:sty m:val="p"/>
                </m:rPr>
                <m:t>(</m:t>
              </m:r>
              <m:r>
                <m:t>c</m:t>
              </m:r>
              <m:r>
                <m:rPr>
                  <m:sty m:val="p"/>
                </m:rPr>
                <m:t>,</m:t>
              </m:r>
              <m:r>
                <m:t>k</m:t>
              </m:r>
              <m:r>
                <m:rPr>
                  <m:sty m:val="p"/>
                </m:rPr>
                <m:t>)</m:t>
              </m:r>
              <m:r>
                <m:rPr>
                  <m:sty m:val="p"/>
                </m:rPr>
                <m:t>|</m:t>
              </m:r>
            </m:den>
          </m:f>
          <m:r>
            <m:rPr>
              <m:sty m:val="p"/>
            </m:rPr>
            <m:t>.</m:t>
          </m:r>
        </m:oMath>
      </m:oMathPara>
    </w:p>
    <w:p>
      <w:pPr>
        <w:pStyle w:val="FirstParagraph"/>
      </w:pPr>
      <w:r>
        <w:rPr>
          <w:b/>
          <w:bCs/>
        </w:rPr>
        <w:t xml:space="preserve">Threshold sensitivity.</w:t>
      </w:r>
      <w:r>
        <w:t xml:space="preserve"> </w:t>
      </w:r>
      <w:r>
        <w:t xml:space="preserve">The full DE pass was re-run at</w:t>
      </w:r>
      <w:r>
        <w:t xml:space="preserve"> </w:t>
      </w:r>
      <w:r>
        <w:rPr>
          <w:rStyle w:val="VerbatimChar"/>
        </w:rPr>
        <w:t xml:space="preserve">min_pairs ∈ {4,5,6}</w:t>
      </w:r>
      <w:r>
        <w:t xml:space="preserve"> </w:t>
      </w:r>
      <w:r>
        <w:t xml:space="preserve">and per-contrast hit counts compared.</w:t>
      </w:r>
    </w:p>
    <w:p>
      <w:pPr>
        <w:pStyle w:val="BodyText"/>
      </w:pPr>
      <w:r>
        <w:rPr>
          <w:b/>
          <w:bCs/>
        </w:rPr>
        <w:t xml:space="preserve">Mixed-model sensitivity.</w:t>
      </w:r>
      <w:r>
        <w:t xml:space="preserve"> </w:t>
      </w:r>
      <w:r>
        <w:t xml:space="preserve">Acute proteins with baseline</w:t>
      </w:r>
      <w:r>
        <w:t xml:space="preserve"> </w:t>
      </w:r>
      <m:oMath>
        <m:r>
          <m:t>q</m:t>
        </m:r>
        <m:r>
          <m:rPr>
            <m:sty m:val="p"/>
          </m:rPr>
          <m:t>&lt;</m:t>
        </m:r>
        <m:r>
          <m:t>0.10</m:t>
        </m:r>
      </m:oMath>
      <w:r>
        <w:t xml:space="preserve"> </w:t>
      </w:r>
      <w:r>
        <w:t xml:space="preserve">were additionally fit with random-intercept models (</w:t>
      </w:r>
      <m:oMath>
        <m:r>
          <m:rPr>
            <m:sty m:val="p"/>
          </m:rPr>
          <m:t>a</m:t>
        </m:r>
        <m:r>
          <m:rPr>
            <m:sty m:val="p"/>
          </m:rPr>
          <m:t>b</m:t>
        </m:r>
        <m:r>
          <m:rPr>
            <m:sty m:val="p"/>
          </m:rPr>
          <m:t>u</m:t>
        </m:r>
        <m:r>
          <m:rPr>
            <m:sty m:val="p"/>
          </m:rPr>
          <m:t>n</m:t>
        </m:r>
        <m:r>
          <m:rPr>
            <m:sty m:val="p"/>
          </m:rPr>
          <m:t>d</m:t>
        </m:r>
        <m:r>
          <m:rPr>
            <m:sty m:val="p"/>
          </m:rPr>
          <m:t>a</m:t>
        </m:r>
        <m:r>
          <m:rPr>
            <m:sty m:val="p"/>
          </m:rPr>
          <m:t>n</m:t>
        </m:r>
        <m:r>
          <m:rPr>
            <m:sty m:val="p"/>
          </m:rPr>
          <m:t>c</m:t>
        </m:r>
        <m:r>
          <m:rPr>
            <m:sty m:val="p"/>
          </m:rPr>
          <m:t>e</m:t>
        </m:r>
        <m:r>
          <m:rPr>
            <m:sty m:val="p"/>
          </m:rPr>
          <m:t>∼</m:t>
        </m:r>
        <m:r>
          <m:rPr>
            <m:sty m:val="p"/>
          </m:rPr>
          <m:t>c</m:t>
        </m:r>
        <m:r>
          <m:rPr>
            <m:sty m:val="p"/>
          </m:rPr>
          <m:t>o</m:t>
        </m:r>
        <m:r>
          <m:rPr>
            <m:sty m:val="p"/>
          </m:rPr>
          <m:t>n</m:t>
        </m:r>
        <m:r>
          <m:rPr>
            <m:sty m:val="p"/>
          </m:rPr>
          <m:t>d</m:t>
        </m:r>
        <m:r>
          <m:rPr>
            <m:sty m:val="p"/>
          </m:rPr>
          <m:t>i</m:t>
        </m:r>
        <m:r>
          <m:rPr>
            <m:sty m:val="p"/>
          </m:rPr>
          <m:t>t</m:t>
        </m:r>
        <m:r>
          <m:rPr>
            <m:sty m:val="p"/>
          </m:rPr>
          <m:t>i</m:t>
        </m:r>
        <m:r>
          <m:rPr>
            <m:sty m:val="p"/>
          </m:rPr>
          <m:t>o</m:t>
        </m:r>
        <m:r>
          <m:rPr>
            <m:sty m:val="p"/>
          </m:rPr>
          <m:t>n</m:t>
        </m:r>
        <m:r>
          <m:rPr>
            <m:sty m:val="p"/>
          </m:rPr>
          <m:t>+</m:t>
        </m:r>
        <m:r>
          <m:rPr>
            <m:sty m:val="p"/>
          </m:rPr>
          <m:t>(</m:t>
        </m:r>
        <m:r>
          <m:t>1</m:t>
        </m:r>
        <m:r>
          <m:t>​</m:t>
        </m:r>
        <m:r>
          <m:rPr>
            <m:sty m:val="p"/>
          </m:rPr>
          <m:t>∣</m:t>
        </m:r>
        <m:r>
          <m:t>​</m:t>
        </m:r>
        <m:r>
          <m:rPr>
            <m:sty m:val="p"/>
          </m:rPr>
          <m:t>s</m:t>
        </m:r>
        <m:r>
          <m:rPr>
            <m:sty m:val="p"/>
          </m:rPr>
          <m:t>u</m:t>
        </m:r>
        <m:r>
          <m:rPr>
            <m:sty m:val="p"/>
          </m:rPr>
          <m:t>b</m:t>
        </m:r>
        <m:r>
          <m:rPr>
            <m:sty m:val="p"/>
          </m:rPr>
          <m:t>j</m:t>
        </m:r>
        <m:r>
          <m:rPr>
            <m:sty m:val="p"/>
          </m:rPr>
          <m:t>e</m:t>
        </m:r>
        <m:r>
          <m:rPr>
            <m:sty m:val="p"/>
          </m:rPr>
          <m:t>c</m:t>
        </m:r>
        <m:r>
          <m:rPr>
            <m:sty m:val="p"/>
          </m:rPr>
          <m:t>t</m:t>
        </m:r>
        <m:r>
          <m:rPr>
            <m:sty m:val="p"/>
          </m:rPr>
          <m:t>)</m:t>
        </m:r>
      </m:oMath>
      <w:r>
        <w:t xml:space="preserve">) [8,10] and compared to paired-t by sign agreement and Spearman rank concordance of</w:t>
      </w:r>
      <w:r>
        <w:t xml:space="preserve"> </w:t>
      </w:r>
      <m:oMath>
        <m:r>
          <m:rPr>
            <m:sty m:val="p"/>
          </m:rPr>
          <m:t>|</m:t>
        </m:r>
        <m:acc>
          <m:accPr>
            <m:chr m:val="‾"/>
          </m:accPr>
          <m:e>
            <m:r>
              <m:t>d</m:t>
            </m:r>
          </m:e>
        </m:acc>
        <m:r>
          <m:rPr>
            <m:sty m:val="p"/>
          </m:rPr>
          <m:t>|</m:t>
        </m:r>
      </m:oMath>
      <w:r>
        <w:t xml:space="preserve">.</w:t>
      </w:r>
    </w:p>
    <w:p>
      <w:pPr>
        <w:pStyle w:val="BodyText"/>
      </w:pPr>
      <w:r>
        <w:rPr>
          <w:b/>
          <w:bCs/>
        </w:rPr>
        <w:t xml:space="preserve">Multiscale (module-level) inference.</w:t>
      </w:r>
      <w:r>
        <w:t xml:space="preserve"> </w:t>
      </w:r>
      <w:r>
        <w:t xml:space="preserve">To address the per-protein independence assumption and reduce the BH correction from P proteins to K modules,</w:t>
      </w:r>
      <w:r>
        <w:t xml:space="preserve"> </w:t>
      </w:r>
      <w:r>
        <w:rPr>
          <w:rStyle w:val="VerbatimChar"/>
        </w:rPr>
        <w:t xml:space="preserve">scripts/learn_modules.py</w:t>
      </w:r>
      <w:r>
        <w:t xml:space="preserve"> </w:t>
      </w:r>
      <w:r>
        <w:t xml:space="preserve">clusters proteins by complete linkage on</w:t>
      </w:r>
      <w:r>
        <w:t xml:space="preserve"> </w:t>
      </w:r>
      <m:oMath>
        <m:sSub>
          <m:e>
            <m:r>
              <m:t>d</m:t>
            </m:r>
          </m:e>
          <m:sub>
            <m:r>
              <m:t>i</m:t>
            </m:r>
            <m:r>
              <m:t>j</m:t>
            </m:r>
          </m:sub>
        </m:sSub>
        <m:r>
          <m:rPr>
            <m:sty m:val="p"/>
          </m:rPr>
          <m:t>=</m:t>
        </m:r>
        <m:r>
          <m:rPr>
            <m:sty m:val="p"/>
          </m:rPr>
          <m:t>(</m:t>
        </m:r>
        <m:r>
          <m:t>1</m:t>
        </m:r>
        <m:r>
          <m:rPr>
            <m:sty m:val="p"/>
          </m:rPr>
          <m:t>−</m:t>
        </m:r>
        <m:sSub>
          <m:e>
            <m:r>
              <m:t>r</m:t>
            </m:r>
          </m:e>
          <m:sub>
            <m:r>
              <m:t>i</m:t>
            </m:r>
            <m:r>
              <m:t>j</m:t>
            </m:r>
          </m:sub>
        </m:sSub>
        <m:r>
          <m:rPr>
            <m:sty m:val="p"/>
          </m:rPr>
          <m:t>)</m:t>
        </m:r>
        <m:r>
          <m:rPr>
            <m:sty m:val="p"/>
          </m:rPr>
          <m:t>/</m:t>
        </m:r>
        <m:r>
          <m:t>2</m:t>
        </m:r>
      </m:oMath>
      <w:r>
        <w:t xml:space="preserve"> </w:t>
      </w:r>
      <w:r>
        <w:t xml:space="preserve">where</w:t>
      </w:r>
      <w:r>
        <w:t xml:space="preserve"> </w:t>
      </w:r>
      <m:oMath>
        <m:sSub>
          <m:e>
            <m:r>
              <m:t>r</m:t>
            </m:r>
          </m:e>
          <m:sub>
            <m:r>
              <m:t>i</m:t>
            </m:r>
            <m:r>
              <m:t>j</m:t>
            </m:r>
          </m:sub>
        </m:sSub>
      </m:oMath>
      <w:r>
        <w:t xml:space="preserve"> </w:t>
      </w:r>
      <w:r>
        <w:t xml:space="preserve">is the Pearson correlation between per-subject delta vectors</w:t>
      </w:r>
      <w:r>
        <w:t xml:space="preserve"> </w:t>
      </w:r>
      <m:oMath>
        <m:r>
          <m:rPr>
            <m:sty m:val="p"/>
          </m:rPr>
          <m:t>(</m:t>
        </m:r>
        <m:sSub>
          <m:e>
            <m:r>
              <m:t>δ</m:t>
            </m:r>
          </m:e>
          <m:sub>
            <m:r>
              <m:t>i</m:t>
            </m:r>
            <m:r>
              <m:rPr>
                <m:sty m:val="p"/>
              </m:rPr>
              <m:t>,</m:t>
            </m:r>
            <m:r>
              <m:t>s</m:t>
            </m:r>
            <m:r>
              <m:rPr>
                <m:sty m:val="p"/>
              </m:rPr>
              <m:t>,</m:t>
            </m:r>
            <m:r>
              <m:t>κ</m:t>
            </m:r>
          </m:sub>
        </m:sSub>
        <m:sSub>
          <m:e>
            <m:r>
              <m:rPr>
                <m:sty m:val="p"/>
              </m:rPr>
              <m:t>)</m:t>
            </m:r>
          </m:e>
          <m:sub>
            <m:r>
              <m:t>s</m:t>
            </m:r>
            <m:r>
              <m:rPr>
                <m:sty m:val="p"/>
              </m:rPr>
              <m:t>,</m:t>
            </m:r>
            <m:r>
              <m:t>κ</m:t>
            </m:r>
          </m:sub>
        </m:sSub>
      </m:oMath>
      <w:r>
        <w:t xml:space="preserve">; the tree is cut at a user-specified K (20 for Dube, 15 for Gisby).</w:t>
      </w:r>
      <w:r>
        <w:t xml:space="preserve"> </w:t>
      </w:r>
      <w:r>
        <w:rPr>
          <w:rStyle w:val="VerbatimChar"/>
        </w:rPr>
        <w:t xml:space="preserve">atman module-de</w:t>
      </w:r>
      <w:r>
        <w:t xml:space="preserve"> </w:t>
      </w:r>
      <w:r>
        <w:t xml:space="preserve">then computes per-(sample, module) scores as the mean</w:t>
      </w:r>
      <w:r>
        <w:t xml:space="preserve"> </w:t>
      </w:r>
      <w:r>
        <w:rPr>
          <w:rStyle w:val="VerbatimChar"/>
        </w:rPr>
        <w:t xml:space="preserve">effective_abundance()</w:t>
      </w:r>
      <w:r>
        <w:t xml:space="preserve"> </w:t>
      </w:r>
      <w:r>
        <w:t xml:space="preserve">across member proteins present in that sample, builds per-(module, condition) cell vectors, and runs paired-t or Welch-t across modules with BH-FDR applied within each contrast over K modules. The full pipeline was calibrated by</w:t>
      </w:r>
      <w:r>
        <w:t xml:space="preserve"> </w:t>
      </w:r>
      <m:oMath>
        <m:r>
          <m:t>B</m:t>
        </m:r>
        <m:r>
          <m:rPr>
            <m:sty m:val="p"/>
          </m:rPr>
          <m:t>=</m:t>
        </m:r>
        <m:r>
          <m:t>1</m:t>
        </m:r>
        <m:r>
          <m:rPr>
            <m:sty m:val="p"/>
          </m:rPr>
          <m:t>,</m:t>
        </m:r>
        <m:r>
          <m:t>000</m:t>
        </m:r>
      </m:oMath>
      <w:r>
        <w:t xml:space="preserve"> </w:t>
      </w:r>
      <w:r>
        <w:t xml:space="preserve">sign-flip paired permutations (re-learning modules on each permuted draw) on both Dube and Gisby: empirical BH-FDR was below nominal at α ∈ {0.01, 0.05, 0.10} on every contrast, and linkage/K sensitivity (</w:t>
      </w:r>
      <w:r>
        <w:rPr>
          <w:rStyle w:val="VerbatimChar"/>
        </w:rPr>
        <w:t xml:space="preserve">scripts/sensitivity_module_de.py</w:t>
      </w:r>
      <w:r>
        <w:t xml:space="preserve">; linkage ∈ {single, average, complete, Ward}, K ∈ {5…50}) disqualified single linkage on silhouette while confirming complete/average/Ward give equivalent null behaviour (supplementary</w:t>
      </w:r>
      <w:r>
        <w:t xml:space="preserve"> </w:t>
      </w:r>
      <w:r>
        <w:rPr>
          <w:rStyle w:val="VerbatimChar"/>
        </w:rPr>
        <w:t xml:space="preserve">docs/findings/supp/null_calibration.md</w:t>
      </w:r>
      <w:r>
        <w:t xml:space="preserve">).</w:t>
      </w:r>
    </w:p>
    <w:p>
      <w:pPr>
        <w:pStyle w:val="BodyText"/>
      </w:pPr>
      <w:r>
        <w:rPr>
          <w:b/>
          <w:bCs/>
        </w:rPr>
        <w:t xml:space="preserve">Stability-weighted prioritisation.</w:t>
      </w:r>
      <w:r>
        <w:t xml:space="preserve"> </w:t>
      </w:r>
      <w:r>
        <w:t xml:space="preserve">A per-protein combined ranking score</w:t>
      </w:r>
    </w:p>
    <w:p>
      <w:pPr>
        <w:pStyle w:val="BodyText"/>
      </w:pPr>
      <m:oMathPara>
        <m:oMathParaPr>
          <m:jc m:val="center"/>
        </m:oMathParaPr>
        <m:oMath>
          <m:sSub>
            <m:e>
              <m:r>
                <m:t>S</m:t>
              </m:r>
            </m:e>
            <m:sub>
              <m:r>
                <m:t>i</m:t>
              </m:r>
              <m:r>
                <m:rPr>
                  <m:sty m:val="p"/>
                </m:rPr>
                <m:t>,</m:t>
              </m:r>
              <m:r>
                <m:t>c</m:t>
              </m:r>
            </m:sub>
          </m:sSub>
          <m:r>
            <m:rPr>
              <m:sty m:val="p"/>
            </m:rPr>
            <m:t>=</m:t>
          </m:r>
          <m:r>
            <m:rPr>
              <m:sty m:val="p"/>
            </m:rPr>
            <m:t>|</m:t>
          </m:r>
          <m:sSub>
            <m:e>
              <m:acc>
                <m:accPr>
                  <m:chr m:val="‾"/>
                </m:accPr>
                <m:e>
                  <m:r>
                    <m:t>d</m:t>
                  </m:r>
                </m:e>
              </m:acc>
            </m:e>
            <m:sub>
              <m:r>
                <m:t>i</m:t>
              </m:r>
              <m:r>
                <m:rPr>
                  <m:sty m:val="p"/>
                </m:rPr>
                <m:t>,</m:t>
              </m:r>
              <m:r>
                <m:t>c</m:t>
              </m:r>
            </m:sub>
          </m:sSub>
          <m:r>
            <m:rPr>
              <m:sty m:val="p"/>
            </m:rPr>
            <m:t>|</m:t>
          </m:r>
          <m:r>
            <m:rPr>
              <m:sty m:val="p"/>
            </m:rPr>
            <m:t>⋅</m:t>
          </m:r>
          <m:sSub>
            <m:e>
              <m:r>
                <m:rPr>
                  <m:sty m:val="p"/>
                </m:rPr>
                <m:t>S</m:t>
              </m:r>
              <m:r>
                <m:rPr>
                  <m:sty m:val="p"/>
                </m:rPr>
                <m:t>S</m:t>
              </m:r>
              <m:r>
                <m:rPr>
                  <m:sty m:val="p"/>
                </m:rPr>
                <m:t>R</m:t>
              </m:r>
            </m:e>
            <m:sub>
              <m:r>
                <m:t>i</m:t>
              </m:r>
              <m:r>
                <m:rPr>
                  <m:sty m:val="p"/>
                </m:rPr>
                <m:t>,</m:t>
              </m:r>
              <m:r>
                <m:t>c</m:t>
              </m:r>
            </m:sub>
          </m:sSub>
          <m:r>
            <m:rPr>
              <m:sty m:val="p"/>
            </m:rPr>
            <m:t>⋅</m:t>
          </m:r>
          <m:d>
            <m:dPr>
              <m:begChr m:val="("/>
              <m:sepChr m:val=""/>
              <m:endChr m:val=")"/>
              <m:grow/>
            </m:dPr>
            <m:e>
              <m:r>
                <m:t>1</m:t>
              </m:r>
              <m:r>
                <m:rPr>
                  <m:sty m:val="p"/>
                </m:rPr>
                <m:t>−</m:t>
              </m:r>
              <m:sSub>
                <m:e>
                  <m:r>
                    <m:t>q</m:t>
                  </m:r>
                </m:e>
                <m:sub>
                  <m:r>
                    <m:t>i</m:t>
                  </m:r>
                  <m:r>
                    <m:rPr>
                      <m:sty m:val="p"/>
                    </m:rPr>
                    <m:t>,</m:t>
                  </m:r>
                  <m:r>
                    <m:t>c</m:t>
                  </m:r>
                </m:sub>
              </m:sSub>
            </m:e>
          </m:d>
        </m:oMath>
      </m:oMathPara>
    </w:p>
    <w:p>
      <w:pPr>
        <w:pStyle w:val="FirstParagraph"/>
      </w:pPr>
      <w:r>
        <w:t xml:space="preserve">interprets the three per-protein quantities atman already produces as components of an expected-reliability-weighted effect. The LOO sign-match rate</w:t>
      </w:r>
      <w:r>
        <w:t xml:space="preserve"> </w:t>
      </w:r>
      <m:oMath>
        <m:sSub>
          <m:e>
            <m:r>
              <m:rPr>
                <m:sty m:val="p"/>
              </m:rPr>
              <m:t>S</m:t>
            </m:r>
            <m:r>
              <m:rPr>
                <m:sty m:val="p"/>
              </m:rPr>
              <m:t>S</m:t>
            </m:r>
            <m:r>
              <m:rPr>
                <m:sty m:val="p"/>
              </m:rPr>
              <m:t>R</m:t>
            </m:r>
          </m:e>
          <m:sub>
            <m:r>
              <m:t>i</m:t>
            </m:r>
            <m:r>
              <m:rPr>
                <m:sty m:val="p"/>
              </m:rPr>
              <m:t>,</m:t>
            </m:r>
            <m:r>
              <m:t>c</m:t>
            </m:r>
          </m:sub>
        </m:sSub>
        <m:r>
          <m:rPr>
            <m:sty m:val="p"/>
          </m:rPr>
          <m:t>∈</m:t>
        </m:r>
        <m:r>
          <m:rPr>
            <m:sty m:val="p"/>
          </m:rPr>
          <m:t>[</m:t>
        </m:r>
        <m:r>
          <m:t>0</m:t>
        </m:r>
        <m:r>
          <m:rPr>
            <m:sty m:val="p"/>
          </m:rPr>
          <m:t>,</m:t>
        </m:r>
        <m:r>
          <m:t>1</m:t>
        </m:r>
        <m:r>
          <m:rPr>
            <m:sty m:val="p"/>
          </m:rPr>
          <m:t>]</m:t>
        </m:r>
      </m:oMath>
      <w:r>
        <w:t xml:space="preserve"> </w:t>
      </w:r>
      <w:r>
        <w:t xml:space="preserve">is an empirical estimate of the probability that the sign of</w:t>
      </w:r>
      <w:r>
        <w:t xml:space="preserve"> </w:t>
      </w:r>
      <m:oMath>
        <m:sSub>
          <m:e>
            <m:acc>
              <m:accPr>
                <m:chr m:val="‾"/>
              </m:accPr>
              <m:e>
                <m:r>
                  <m:t>d</m:t>
                </m:r>
              </m:e>
            </m:acc>
          </m:e>
          <m:sub>
            <m:r>
              <m:t>i</m:t>
            </m:r>
            <m:r>
              <m:rPr>
                <m:sty m:val="p"/>
              </m:rPr>
              <m:t>,</m:t>
            </m:r>
            <m:r>
              <m:t>c</m:t>
            </m:r>
          </m:sub>
        </m:sSub>
      </m:oMath>
      <w:r>
        <w:t xml:space="preserve"> </w:t>
      </w:r>
      <w:r>
        <w:t xml:space="preserve">is preserved under independent resampling of subjects;</w:t>
      </w:r>
      <w:r>
        <w:t xml:space="preserve"> </w:t>
      </w:r>
      <m:oMath>
        <m:r>
          <m:rPr>
            <m:sty m:val="p"/>
          </m:rPr>
          <m:t>(</m:t>
        </m:r>
        <m:r>
          <m:t>1</m:t>
        </m:r>
        <m:r>
          <m:rPr>
            <m:sty m:val="p"/>
          </m:rPr>
          <m:t>−</m:t>
        </m:r>
        <m:sSub>
          <m:e>
            <m:r>
              <m:t>q</m:t>
            </m:r>
          </m:e>
          <m:sub>
            <m:r>
              <m:t>i</m:t>
            </m:r>
            <m:r>
              <m:rPr>
                <m:sty m:val="p"/>
              </m:rPr>
              <m:t>,</m:t>
            </m:r>
            <m:r>
              <m:t>c</m:t>
            </m:r>
          </m:sub>
        </m:sSub>
        <m:r>
          <m:rPr>
            <m:sty m:val="p"/>
          </m:rPr>
          <m:t>)</m:t>
        </m:r>
        <m:r>
          <m:rPr>
            <m:sty m:val="p"/>
          </m:rPr>
          <m:t>∈</m:t>
        </m:r>
        <m:r>
          <m:rPr>
            <m:sty m:val="p"/>
          </m:rPr>
          <m:t>[</m:t>
        </m:r>
        <m:r>
          <m:t>0</m:t>
        </m:r>
        <m:r>
          <m:rPr>
            <m:sty m:val="p"/>
          </m:rPr>
          <m:t>,</m:t>
        </m:r>
        <m:r>
          <m:t>1</m:t>
        </m:r>
        <m:r>
          <m:rPr>
            <m:sty m:val="p"/>
          </m:rPr>
          <m:t>]</m:t>
        </m:r>
      </m:oMath>
      <w:r>
        <w:t xml:space="preserve"> </w:t>
      </w:r>
      <w:r>
        <w:t xml:space="preserve">is a monotonic proxy for significance reliability at protein</w:t>
      </w:r>
      <w:r>
        <w:t xml:space="preserve"> </w:t>
      </w:r>
      <m:oMath>
        <m:r>
          <m:t>i</m:t>
        </m:r>
      </m:oMath>
      <w:r>
        <w:t xml:space="preserve">’s BH rank. Under (admittedly idealised) independence of the two reliability sources, the product</w:t>
      </w:r>
      <w:r>
        <w:t xml:space="preserve"> </w:t>
      </w:r>
      <m:oMath>
        <m:sSub>
          <m:e>
            <m:r>
              <m:rPr>
                <m:sty m:val="p"/>
              </m:rPr>
              <m:t>S</m:t>
            </m:r>
            <m:r>
              <m:rPr>
                <m:sty m:val="p"/>
              </m:rPr>
              <m:t>S</m:t>
            </m:r>
            <m:r>
              <m:rPr>
                <m:sty m:val="p"/>
              </m:rPr>
              <m:t>R</m:t>
            </m:r>
          </m:e>
          <m:sub>
            <m:r>
              <m:t>i</m:t>
            </m:r>
            <m:r>
              <m:rPr>
                <m:sty m:val="p"/>
              </m:rPr>
              <m:t>,</m:t>
            </m:r>
            <m:r>
              <m:t>c</m:t>
            </m:r>
          </m:sub>
        </m:sSub>
        <m:r>
          <m:rPr>
            <m:sty m:val="p"/>
          </m:rPr>
          <m:t>⋅</m:t>
        </m:r>
        <m:r>
          <m:rPr>
            <m:sty m:val="p"/>
          </m:rPr>
          <m:t>(</m:t>
        </m:r>
        <m:r>
          <m:t>1</m:t>
        </m:r>
        <m:r>
          <m:rPr>
            <m:sty m:val="p"/>
          </m:rPr>
          <m:t>−</m:t>
        </m:r>
        <m:sSub>
          <m:e>
            <m:r>
              <m:t>q</m:t>
            </m:r>
          </m:e>
          <m:sub>
            <m:r>
              <m:t>i</m:t>
            </m:r>
            <m:r>
              <m:rPr>
                <m:sty m:val="p"/>
              </m:rPr>
              <m:t>,</m:t>
            </m:r>
            <m:r>
              <m:t>c</m:t>
            </m:r>
          </m:sub>
        </m:sSub>
        <m:r>
          <m:rPr>
            <m:sty m:val="p"/>
          </m:rPr>
          <m:t>)</m:t>
        </m:r>
      </m:oMath>
      <w:r>
        <w:t xml:space="preserve"> </w:t>
      </w:r>
      <w:r>
        <w:t xml:space="preserve">approximates the probability that the reported direction is both real and sign-correct, and multiplying by</w:t>
      </w:r>
      <w:r>
        <w:t xml:space="preserve"> </w:t>
      </w:r>
      <m:oMath>
        <m:r>
          <m:rPr>
            <m:sty m:val="p"/>
          </m:rPr>
          <m:t>|</m:t>
        </m:r>
        <m:sSub>
          <m:e>
            <m:acc>
              <m:accPr>
                <m:chr m:val="‾"/>
              </m:accPr>
              <m:e>
                <m:r>
                  <m:t>d</m:t>
                </m:r>
              </m:e>
            </m:acc>
          </m:e>
          <m:sub>
            <m:r>
              <m:t>i</m:t>
            </m:r>
            <m:r>
              <m:rPr>
                <m:sty m:val="p"/>
              </m:rPr>
              <m:t>,</m:t>
            </m:r>
            <m:r>
              <m:t>c</m:t>
            </m:r>
          </m:sub>
        </m:sSub>
        <m:r>
          <m:rPr>
            <m:sty m:val="p"/>
          </m:rPr>
          <m:t>|</m:t>
        </m:r>
      </m:oMath>
      <w:r>
        <w:t xml:space="preserve"> </w:t>
      </w:r>
      <w:r>
        <w:t xml:space="preserve">returns a quantity in effect-size units:</w:t>
      </w:r>
      <w:r>
        <w:t xml:space="preserve"> </w:t>
      </w:r>
      <m:oMath>
        <m:sSub>
          <m:e>
            <m:r>
              <m:t>S</m:t>
            </m:r>
          </m:e>
          <m:sub>
            <m:r>
              <m:t>i</m:t>
            </m:r>
            <m:r>
              <m:rPr>
                <m:sty m:val="p"/>
              </m:rPr>
              <m:t>,</m:t>
            </m:r>
            <m:r>
              <m:t>c</m:t>
            </m:r>
          </m:sub>
        </m:sSub>
      </m:oMath>
      <w:r>
        <w:t xml:space="preserve"> </w:t>
      </w:r>
      <w:r>
        <w:t xml:space="preserve">is an estimate of the expected effect magnitude conditional on directional and significance reliability. Multiplicative combination follows from this independence interpretation; additive and log-scale alternatives lose the zero-anchor at</w:t>
      </w:r>
      <w:r>
        <w:t xml:space="preserve"> </w:t>
      </w:r>
      <m:oMath>
        <m:r>
          <m:rPr>
            <m:sty m:val="p"/>
          </m:rPr>
          <m:t>S</m:t>
        </m:r>
        <m:r>
          <m:rPr>
            <m:sty m:val="p"/>
          </m:rPr>
          <m:t>S</m:t>
        </m:r>
        <m:r>
          <m:rPr>
            <m:sty m:val="p"/>
          </m:rPr>
          <m:t>R</m:t>
        </m:r>
        <m:r>
          <m:rPr>
            <m:sty m:val="p"/>
          </m:rPr>
          <m:t>=</m:t>
        </m:r>
        <m:r>
          <m:t>0</m:t>
        </m:r>
      </m:oMath>
      <w:r>
        <w:t xml:space="preserve"> </w:t>
      </w:r>
      <w:r>
        <w:t xml:space="preserve">or</w:t>
      </w:r>
      <w:r>
        <w:t xml:space="preserve"> </w:t>
      </w:r>
      <m:oMath>
        <m:r>
          <m:t>q</m:t>
        </m:r>
        <m:r>
          <m:rPr>
            <m:sty m:val="p"/>
          </m:rPr>
          <m:t>=</m:t>
        </m:r>
        <m:r>
          <m:t>1</m:t>
        </m:r>
      </m:oMath>
      <w:r>
        <w:t xml:space="preserve">, and thresholded gating would require a justified cutoff this paper does not argue for.</w:t>
      </w:r>
      <w:r>
        <w:t xml:space="preserve"> </w:t>
      </w:r>
      <w:r>
        <w:rPr>
          <w:rStyle w:val="VerbatimChar"/>
        </w:rPr>
        <w:t xml:space="preserve">atman robustness</w:t>
      </w:r>
      <w:r>
        <w:t xml:space="preserve"> </w:t>
      </w:r>
      <w:r>
        <w:t xml:space="preserve">emits</w:t>
      </w:r>
      <w:r>
        <w:t xml:space="preserve"> </w:t>
      </w:r>
      <w:r>
        <w:rPr>
          <w:rStyle w:val="VerbatimChar"/>
        </w:rPr>
        <w:t xml:space="preserve">stability_ranked.tsv</w:t>
      </w:r>
      <w:r>
        <w:t xml:space="preserve"> </w:t>
      </w:r>
      <w:r>
        <w:t xml:space="preserve">with</w:t>
      </w:r>
      <w:r>
        <w:t xml:space="preserve"> </w:t>
      </w:r>
      <w:r>
        <w:rPr>
          <w:rStyle w:val="VerbatimChar"/>
        </w:rPr>
        <w:t xml:space="preserve">stability_score</w:t>
      </w:r>
      <w:r>
        <w:t xml:space="preserve">,</w:t>
      </w:r>
      <w:r>
        <w:t xml:space="preserve"> </w:t>
      </w:r>
      <w:r>
        <w:rPr>
          <w:rStyle w:val="VerbatimChar"/>
        </w:rPr>
        <w:t xml:space="preserve">rank_by_q</w:t>
      </w:r>
      <w:r>
        <w:t xml:space="preserve">, and</w:t>
      </w:r>
      <w:r>
        <w:t xml:space="preserve"> </w:t>
      </w:r>
      <w:r>
        <w:rPr>
          <w:rStyle w:val="VerbatimChar"/>
        </w:rPr>
        <w:t xml:space="preserve">rank_by_stability</w:t>
      </w:r>
      <w:r>
        <w:t xml:space="preserve"> </w:t>
      </w:r>
      <w:r>
        <w:t xml:space="preserve">per (contrast, gene), so the q-ordering and the stability-aware ordering can be compared from the same file.</w:t>
      </w:r>
    </w:p>
    <w:bookmarkEnd w:id="32"/>
    <w:bookmarkStart w:id="33" w:name="heterogeneity-metrics"/>
    <w:p>
      <w:pPr>
        <w:pStyle w:val="Heading3"/>
      </w:pPr>
      <w:r>
        <w:t xml:space="preserve">Heterogeneity metrics</w:t>
      </w:r>
    </w:p>
    <w:p>
      <w:pPr>
        <w:pStyle w:val="FirstParagraph"/>
      </w:pPr>
      <w:r>
        <w:t xml:space="preserve">Per-subject per-protein deltas were computed for four contrast keys</w:t>
      </w:r>
      <w:r>
        <w:t xml:space="preserve"> </w:t>
      </w:r>
      <m:oMath>
        <m:r>
          <m:t>κ</m:t>
        </m:r>
        <m:r>
          <m:rPr>
            <m:sty m:val="p"/>
          </m:rPr>
          <m:t>∈</m:t>
        </m:r>
        <m:r>
          <m:rPr>
            <m:sty m:val="p"/>
          </m:rPr>
          <m:t>{</m:t>
        </m:r>
        <m:r>
          <m:rPr>
            <m:nor/>
            <m:scr m:val="monospace"/>
            <m:sty m:val="p"/>
          </m:rPr>
          <m:t>pt1_pr1</m:t>
        </m:r>
        <m:r>
          <m:rPr>
            <m:sty m:val="p"/>
          </m:rPr>
          <m:t>,</m:t>
        </m:r>
        <m:r>
          <m:rPr>
            <m:nor/>
            <m:scr m:val="monospace"/>
            <m:sty m:val="p"/>
          </m:rPr>
          <m:t>pt2_pr2</m:t>
        </m:r>
        <m:r>
          <m:rPr>
            <m:sty m:val="p"/>
          </m:rPr>
          <m:t>,</m:t>
        </m:r>
        <m:r>
          <m:rPr>
            <m:nor/>
            <m:scr m:val="monospace"/>
            <m:sty m:val="p"/>
          </m:rPr>
          <m:t>pt2_pt1</m:t>
        </m:r>
        <m:r>
          <m:rPr>
            <m:sty m:val="p"/>
          </m:rPr>
          <m:t>,</m:t>
        </m:r>
        <m:r>
          <m:rPr>
            <m:nor/>
            <m:scr m:val="monospace"/>
            <m:sty m:val="p"/>
          </m:rPr>
          <m:t>pr2_pr1</m:t>
        </m:r>
        <m:r>
          <m:rPr>
            <m:sty m:val="p"/>
          </m:rPr>
          <m:t>}</m:t>
        </m:r>
      </m:oMath>
      <w:r>
        <w:t xml:space="preserve">, with</w:t>
      </w:r>
      <w:r>
        <w:t xml:space="preserve"> </w:t>
      </w:r>
      <m:oMath>
        <m:sSub>
          <m:e>
            <m:r>
              <m:t>δ</m:t>
            </m:r>
          </m:e>
          <m:sub>
            <m:r>
              <m:t>i</m:t>
            </m:r>
            <m:r>
              <m:rPr>
                <m:sty m:val="p"/>
              </m:rPr>
              <m:t>,</m:t>
            </m:r>
            <m:r>
              <m:t>s</m:t>
            </m:r>
            <m:r>
              <m:rPr>
                <m:sty m:val="p"/>
              </m:rPr>
              <m:t>,</m:t>
            </m:r>
            <m:r>
              <m:t>κ</m:t>
            </m:r>
          </m:sub>
        </m:sSub>
        <m:r>
          <m:rPr>
            <m:sty m:val="p"/>
          </m:rPr>
          <m:t>=</m:t>
        </m:r>
        <m:sSub>
          <m:e>
            <m:r>
              <m:t>x</m:t>
            </m:r>
          </m:e>
          <m:sub>
            <m:r>
              <m:t>i</m:t>
            </m:r>
            <m:r>
              <m:rPr>
                <m:sty m:val="p"/>
              </m:rPr>
              <m:t>,</m:t>
            </m:r>
            <m:r>
              <m:t>s</m:t>
            </m:r>
            <m:r>
              <m:rPr>
                <m:sty m:val="p"/>
              </m:rPr>
              <m:t>,</m:t>
            </m:r>
            <m:r>
              <m:t>A</m:t>
            </m:r>
            <m:r>
              <m:rPr>
                <m:sty m:val="p"/>
              </m:rPr>
              <m:t>(</m:t>
            </m:r>
            <m:r>
              <m:t>κ</m:t>
            </m:r>
            <m:r>
              <m:rPr>
                <m:sty m:val="p"/>
              </m:rPr>
              <m:t>)</m:t>
            </m:r>
          </m:sub>
        </m:sSub>
        <m:r>
          <m:rPr>
            <m:sty m:val="p"/>
          </m:rPr>
          <m:t>−</m:t>
        </m:r>
        <m:sSub>
          <m:e>
            <m:r>
              <m:t>x</m:t>
            </m:r>
          </m:e>
          <m:sub>
            <m:r>
              <m:t>i</m:t>
            </m:r>
            <m:r>
              <m:rPr>
                <m:sty m:val="p"/>
              </m:rPr>
              <m:t>,</m:t>
            </m:r>
            <m:r>
              <m:t>s</m:t>
            </m:r>
            <m:r>
              <m:rPr>
                <m:sty m:val="p"/>
              </m:rPr>
              <m:t>,</m:t>
            </m:r>
            <m:r>
              <m:t>B</m:t>
            </m:r>
            <m:r>
              <m:rPr>
                <m:sty m:val="p"/>
              </m:rPr>
              <m:t>(</m:t>
            </m:r>
            <m:r>
              <m:t>κ</m:t>
            </m:r>
            <m:r>
              <m:rPr>
                <m:sty m:val="p"/>
              </m:rPr>
              <m:t>)</m:t>
            </m:r>
          </m:sub>
        </m:sSub>
      </m:oMath>
      <w:r>
        <w:t xml:space="preserve"> </w:t>
      </w:r>
      <w:r>
        <w:t xml:space="preserve">for each protein</w:t>
      </w:r>
      <w:r>
        <w:t xml:space="preserve"> </w:t>
      </w:r>
      <m:oMath>
        <m:r>
          <m:t>i</m:t>
        </m:r>
      </m:oMath>
      <w:r>
        <w:t xml:space="preserve"> </w:t>
      </w:r>
      <w:r>
        <w:t xml:space="preserve">and subject</w:t>
      </w:r>
      <w:r>
        <w:t xml:space="preserve"> </w:t>
      </w:r>
      <m:oMath>
        <m:r>
          <m:t>s</m:t>
        </m:r>
      </m:oMath>
      <w:r>
        <w:t xml:space="preserve">.</w:t>
      </w:r>
    </w:p>
    <w:p>
      <w:pPr>
        <w:pStyle w:val="BodyText"/>
      </w:pPr>
      <w:r>
        <w:rPr>
          <w:b/>
          <w:bCs/>
        </w:rPr>
        <w:t xml:space="preserve">Per-subject acute and adaptation burdens.</w:t>
      </w:r>
      <w:r>
        <w:t xml:space="preserve"> </w:t>
      </w:r>
      <w:r>
        <w:t xml:space="preserve">With</w:t>
      </w:r>
      <w:r>
        <w:t xml:space="preserve"> </w:t>
      </w:r>
      <m:oMath>
        <m:r>
          <m:t>N</m:t>
        </m:r>
      </m:oMath>
      <w:r>
        <w:t xml:space="preserve"> </w:t>
      </w:r>
      <w:r>
        <w:t xml:space="preserve">the number of proteins retained for subject</w:t>
      </w:r>
      <w:r>
        <w:t xml:space="preserve"> </w:t>
      </w:r>
      <m:oMath>
        <m:r>
          <m:t>s</m:t>
        </m:r>
      </m:oMath>
      <w:r>
        <w:t xml:space="preserve">:</w:t>
      </w:r>
    </w:p>
    <w:p>
      <w:pPr>
        <w:pStyle w:val="BodyText"/>
      </w:pPr>
      <m:oMathPara>
        <m:oMathParaPr>
          <m:jc m:val="center"/>
        </m:oMathParaPr>
        <m:oMath>
          <m:sSub>
            <m:e>
              <m:r>
                <m:rPr>
                  <m:sty m:val="p"/>
                </m:rPr>
                <m:t>m</m:t>
              </m:r>
              <m:r>
                <m:rPr>
                  <m:sty m:val="p"/>
                </m:rPr>
                <m:t>e</m:t>
              </m:r>
              <m:r>
                <m:rPr>
                  <m:sty m:val="p"/>
                </m:rPr>
                <m:t>a</m:t>
              </m:r>
              <m:r>
                <m:rPr>
                  <m:sty m:val="p"/>
                </m:rPr>
                <m:t>n</m:t>
              </m:r>
              <m:r>
                <m:rPr>
                  <m:sty m:val="p"/>
                </m:rPr>
                <m:t>_</m:t>
              </m:r>
              <m:r>
                <m:rPr>
                  <m:sty m:val="p"/>
                </m:rPr>
                <m:t>a</m:t>
              </m:r>
              <m:r>
                <m:rPr>
                  <m:sty m:val="p"/>
                </m:rPr>
                <m:t>b</m:t>
              </m:r>
              <m:r>
                <m:rPr>
                  <m:sty m:val="p"/>
                </m:rPr>
                <m:t>s</m:t>
              </m:r>
            </m:e>
            <m:sub>
              <m:r>
                <m:t>s</m:t>
              </m:r>
              <m:r>
                <m:rPr>
                  <m:sty m:val="p"/>
                </m:rPr>
                <m:t>,</m:t>
              </m:r>
              <m:r>
                <m:t>κ</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δ</m:t>
              </m:r>
            </m:e>
            <m:sub>
              <m:r>
                <m:t>i</m:t>
              </m:r>
              <m:r>
                <m:rPr>
                  <m:sty m:val="p"/>
                </m:rPr>
                <m:t>,</m:t>
              </m:r>
              <m:r>
                <m:t>s</m:t>
              </m:r>
              <m:r>
                <m:rPr>
                  <m:sty m:val="p"/>
                </m:rPr>
                <m:t>,</m:t>
              </m:r>
              <m:r>
                <m:t>κ</m:t>
              </m:r>
            </m:sub>
          </m:sSub>
          <m:r>
            <m:rPr>
              <m:sty m:val="p"/>
            </m:rPr>
            <m:t>|</m:t>
          </m:r>
          <m:r>
            <m:rPr>
              <m:sty m:val="p"/>
            </m:rPr>
            <m:t>,</m:t>
          </m:r>
        </m:oMath>
      </m:oMathPara>
    </w:p>
    <w:p>
      <w:pPr>
        <w:pStyle w:val="FirstParagraph"/>
      </w:pPr>
      <m:oMathPara>
        <m:oMathParaPr>
          <m:jc m:val="center"/>
        </m:oMathParaPr>
        <m:oMath>
          <m:sSubSup>
            <m:e>
              <m:r>
                <m:rPr>
                  <m:sty m:val="p"/>
                </m:rPr>
                <m:t>B</m:t>
              </m:r>
              <m:r>
                <m:rPr>
                  <m:sty m:val="p"/>
                </m:rPr>
                <m:t>u</m:t>
              </m:r>
              <m:r>
                <m:rPr>
                  <m:sty m:val="p"/>
                </m:rPr>
                <m:t>r</m:t>
              </m:r>
              <m:r>
                <m:rPr>
                  <m:sty m:val="p"/>
                </m:rPr>
                <m:t>d</m:t>
              </m:r>
              <m:r>
                <m:rPr>
                  <m:sty m:val="p"/>
                </m:rPr>
                <m:t>e</m:t>
              </m:r>
              <m:r>
                <m:rPr>
                  <m:sty m:val="p"/>
                </m:rPr>
                <m:t>n</m:t>
              </m:r>
            </m:e>
            <m:sub>
              <m:r>
                <m:t>s</m:t>
              </m:r>
            </m:sub>
            <m:sup>
              <m:r>
                <m:rPr>
                  <m:sty m:val="p"/>
                </m:rPr>
                <m:t>a</m:t>
              </m:r>
              <m:r>
                <m:rPr>
                  <m:sty m:val="p"/>
                </m:rPr>
                <m:t>c</m:t>
              </m:r>
              <m:r>
                <m:rPr>
                  <m:sty m:val="p"/>
                </m:rPr>
                <m:t>u</m:t>
              </m:r>
              <m:r>
                <m:rPr>
                  <m:sty m:val="p"/>
                </m:rPr>
                <m:t>t</m:t>
              </m:r>
              <m:r>
                <m:rPr>
                  <m:sty m:val="p"/>
                </m:rPr>
                <m:t>e</m:t>
              </m:r>
            </m:sup>
          </m:sSubSup>
          <m:r>
            <m:rPr>
              <m:sty m:val="p"/>
            </m:rPr>
            <m:t>=</m:t>
          </m:r>
          <m:f>
            <m:fPr>
              <m:type m:val="lin"/>
            </m:fPr>
            <m:num>
              <m:r>
                <m:t>1</m:t>
              </m:r>
            </m:num>
            <m:den>
              <m:r>
                <m:t>2</m:t>
              </m:r>
            </m:den>
          </m:f>
          <m:r>
            <m:t>​</m:t>
          </m:r>
          <m:d>
            <m:dPr>
              <m:begChr m:val="("/>
              <m:sepChr m:val=""/>
              <m:endChr m:val=")"/>
              <m:grow/>
            </m:dPr>
            <m:e>
              <m:sSub>
                <m:e>
                  <m:r>
                    <m:rPr>
                      <m:sty m:val="p"/>
                    </m:rPr>
                    <m:t>m</m:t>
                  </m:r>
                  <m:r>
                    <m:rPr>
                      <m:sty m:val="p"/>
                    </m:rPr>
                    <m:t>e</m:t>
                  </m:r>
                  <m:r>
                    <m:rPr>
                      <m:sty m:val="p"/>
                    </m:rPr>
                    <m:t>a</m:t>
                  </m:r>
                  <m:r>
                    <m:rPr>
                      <m:sty m:val="p"/>
                    </m:rPr>
                    <m:t>n</m:t>
                  </m:r>
                  <m:r>
                    <m:rPr>
                      <m:sty m:val="p"/>
                    </m:rPr>
                    <m:t>_</m:t>
                  </m:r>
                  <m:r>
                    <m:rPr>
                      <m:sty m:val="p"/>
                    </m:rPr>
                    <m:t>a</m:t>
                  </m:r>
                  <m:r>
                    <m:rPr>
                      <m:sty m:val="p"/>
                    </m:rPr>
                    <m:t>b</m:t>
                  </m:r>
                  <m:r>
                    <m:rPr>
                      <m:sty m:val="p"/>
                    </m:rPr>
                    <m:t>s</m:t>
                  </m:r>
                </m:e>
                <m:sub>
                  <m:r>
                    <m:t>s</m:t>
                  </m:r>
                  <m:r>
                    <m:rPr>
                      <m:sty m:val="p"/>
                    </m:rPr>
                    <m:t>,</m:t>
                  </m:r>
                  <m:r>
                    <m:rPr>
                      <m:nor/>
                      <m:scr m:val="monospace"/>
                      <m:sty m:val="p"/>
                    </m:rPr>
                    <m:t>pt1_pr1</m:t>
                  </m:r>
                </m:sub>
              </m:sSub>
              <m:r>
                <m:rPr>
                  <m:sty m:val="p"/>
                </m:rPr>
                <m:t>+</m:t>
              </m:r>
              <m:sSub>
                <m:e>
                  <m:r>
                    <m:rPr>
                      <m:sty m:val="p"/>
                    </m:rPr>
                    <m:t>m</m:t>
                  </m:r>
                  <m:r>
                    <m:rPr>
                      <m:sty m:val="p"/>
                    </m:rPr>
                    <m:t>e</m:t>
                  </m:r>
                  <m:r>
                    <m:rPr>
                      <m:sty m:val="p"/>
                    </m:rPr>
                    <m:t>a</m:t>
                  </m:r>
                  <m:r>
                    <m:rPr>
                      <m:sty m:val="p"/>
                    </m:rPr>
                    <m:t>n</m:t>
                  </m:r>
                  <m:r>
                    <m:rPr>
                      <m:sty m:val="p"/>
                    </m:rPr>
                    <m:t>_</m:t>
                  </m:r>
                  <m:r>
                    <m:rPr>
                      <m:sty m:val="p"/>
                    </m:rPr>
                    <m:t>a</m:t>
                  </m:r>
                  <m:r>
                    <m:rPr>
                      <m:sty m:val="p"/>
                    </m:rPr>
                    <m:t>b</m:t>
                  </m:r>
                  <m:r>
                    <m:rPr>
                      <m:sty m:val="p"/>
                    </m:rPr>
                    <m:t>s</m:t>
                  </m:r>
                </m:e>
                <m:sub>
                  <m:r>
                    <m:t>s</m:t>
                  </m:r>
                  <m:r>
                    <m:rPr>
                      <m:sty m:val="p"/>
                    </m:rPr>
                    <m:t>,</m:t>
                  </m:r>
                  <m:r>
                    <m:rPr>
                      <m:nor/>
                      <m:scr m:val="monospace"/>
                      <m:sty m:val="p"/>
                    </m:rPr>
                    <m:t>pt2_pr2</m:t>
                  </m:r>
                </m:sub>
              </m:sSub>
            </m:e>
          </m:d>
          <m:r>
            <m:rPr>
              <m:sty m:val="p"/>
            </m:rPr>
            <m:t>,</m:t>
          </m:r>
        </m:oMath>
      </m:oMathPara>
    </w:p>
    <w:p>
      <w:pPr>
        <w:pStyle w:val="FirstParagraph"/>
      </w:pPr>
      <m:oMathPara>
        <m:oMathParaPr>
          <m:jc m:val="center"/>
        </m:oMathParaPr>
        <m:oMath>
          <m:sSubSup>
            <m:e>
              <m:r>
                <m:rPr>
                  <m:sty m:val="p"/>
                </m:rPr>
                <m:t>B</m:t>
              </m:r>
              <m:r>
                <m:rPr>
                  <m:sty m:val="p"/>
                </m:rPr>
                <m:t>u</m:t>
              </m:r>
              <m:r>
                <m:rPr>
                  <m:sty m:val="p"/>
                </m:rPr>
                <m:t>r</m:t>
              </m:r>
              <m:r>
                <m:rPr>
                  <m:sty m:val="p"/>
                </m:rPr>
                <m:t>d</m:t>
              </m:r>
              <m:r>
                <m:rPr>
                  <m:sty m:val="p"/>
                </m:rPr>
                <m:t>e</m:t>
              </m:r>
              <m:r>
                <m:rPr>
                  <m:sty m:val="p"/>
                </m:rPr>
                <m:t>n</m:t>
              </m:r>
            </m:e>
            <m:sub>
              <m:r>
                <m:t>s</m:t>
              </m:r>
            </m:sub>
            <m:sup>
              <m:r>
                <m:rPr>
                  <m:sty m:val="p"/>
                </m:rPr>
                <m:t>a</m:t>
              </m:r>
              <m:r>
                <m:rPr>
                  <m:sty m:val="p"/>
                </m:rPr>
                <m:t>d</m:t>
              </m:r>
              <m:r>
                <m:rPr>
                  <m:sty m:val="p"/>
                </m:rPr>
                <m:t>a</m:t>
              </m:r>
              <m:r>
                <m:rPr>
                  <m:sty m:val="p"/>
                </m:rPr>
                <m:t>p</m:t>
              </m:r>
              <m:r>
                <m:rPr>
                  <m:sty m:val="p"/>
                </m:rPr>
                <m:t>t</m:t>
              </m:r>
            </m:sup>
          </m:sSubSup>
          <m:r>
            <m:rPr>
              <m:sty m:val="p"/>
            </m:rPr>
            <m:t>=</m:t>
          </m:r>
          <m:f>
            <m:fPr>
              <m:type m:val="lin"/>
            </m:fPr>
            <m:num>
              <m:r>
                <m:t>1</m:t>
              </m:r>
            </m:num>
            <m:den>
              <m:r>
                <m:t>2</m:t>
              </m:r>
            </m:den>
          </m:f>
          <m:r>
            <m:t>​</m:t>
          </m:r>
          <m:d>
            <m:dPr>
              <m:begChr m:val="("/>
              <m:sepChr m:val=""/>
              <m:endChr m:val=")"/>
              <m:grow/>
            </m:dPr>
            <m:e>
              <m:sSub>
                <m:e>
                  <m:r>
                    <m:rPr>
                      <m:sty m:val="p"/>
                    </m:rPr>
                    <m:t>m</m:t>
                  </m:r>
                  <m:r>
                    <m:rPr>
                      <m:sty m:val="p"/>
                    </m:rPr>
                    <m:t>e</m:t>
                  </m:r>
                  <m:r>
                    <m:rPr>
                      <m:sty m:val="p"/>
                    </m:rPr>
                    <m:t>a</m:t>
                  </m:r>
                  <m:r>
                    <m:rPr>
                      <m:sty m:val="p"/>
                    </m:rPr>
                    <m:t>n</m:t>
                  </m:r>
                  <m:r>
                    <m:rPr>
                      <m:sty m:val="p"/>
                    </m:rPr>
                    <m:t>_</m:t>
                  </m:r>
                  <m:r>
                    <m:rPr>
                      <m:sty m:val="p"/>
                    </m:rPr>
                    <m:t>a</m:t>
                  </m:r>
                  <m:r>
                    <m:rPr>
                      <m:sty m:val="p"/>
                    </m:rPr>
                    <m:t>b</m:t>
                  </m:r>
                  <m:r>
                    <m:rPr>
                      <m:sty m:val="p"/>
                    </m:rPr>
                    <m:t>s</m:t>
                  </m:r>
                </m:e>
                <m:sub>
                  <m:r>
                    <m:t>s</m:t>
                  </m:r>
                  <m:r>
                    <m:rPr>
                      <m:sty m:val="p"/>
                    </m:rPr>
                    <m:t>,</m:t>
                  </m:r>
                  <m:r>
                    <m:rPr>
                      <m:nor/>
                      <m:scr m:val="monospace"/>
                      <m:sty m:val="p"/>
                    </m:rPr>
                    <m:t>pt2_pt1</m:t>
                  </m:r>
                </m:sub>
              </m:sSub>
              <m:r>
                <m:rPr>
                  <m:sty m:val="p"/>
                </m:rPr>
                <m:t>+</m:t>
              </m:r>
              <m:sSub>
                <m:e>
                  <m:r>
                    <m:rPr>
                      <m:sty m:val="p"/>
                    </m:rPr>
                    <m:t>m</m:t>
                  </m:r>
                  <m:r>
                    <m:rPr>
                      <m:sty m:val="p"/>
                    </m:rPr>
                    <m:t>e</m:t>
                  </m:r>
                  <m:r>
                    <m:rPr>
                      <m:sty m:val="p"/>
                    </m:rPr>
                    <m:t>a</m:t>
                  </m:r>
                  <m:r>
                    <m:rPr>
                      <m:sty m:val="p"/>
                    </m:rPr>
                    <m:t>n</m:t>
                  </m:r>
                  <m:r>
                    <m:rPr>
                      <m:sty m:val="p"/>
                    </m:rPr>
                    <m:t>_</m:t>
                  </m:r>
                  <m:r>
                    <m:rPr>
                      <m:sty m:val="p"/>
                    </m:rPr>
                    <m:t>a</m:t>
                  </m:r>
                  <m:r>
                    <m:rPr>
                      <m:sty m:val="p"/>
                    </m:rPr>
                    <m:t>b</m:t>
                  </m:r>
                  <m:r>
                    <m:rPr>
                      <m:sty m:val="p"/>
                    </m:rPr>
                    <m:t>s</m:t>
                  </m:r>
                </m:e>
                <m:sub>
                  <m:r>
                    <m:t>s</m:t>
                  </m:r>
                  <m:r>
                    <m:rPr>
                      <m:sty m:val="p"/>
                    </m:rPr>
                    <m:t>,</m:t>
                  </m:r>
                  <m:r>
                    <m:rPr>
                      <m:nor/>
                      <m:scr m:val="monospace"/>
                      <m:sty m:val="p"/>
                    </m:rPr>
                    <m:t>pr2_pr1</m:t>
                  </m:r>
                </m:sub>
              </m:sSub>
            </m:e>
          </m:d>
          <m:r>
            <m:rPr>
              <m:sty m:val="p"/>
            </m:rPr>
            <m:t>.</m:t>
          </m:r>
        </m:oMath>
      </m:oMathPara>
    </w:p>
    <w:p>
      <w:pPr>
        <w:pStyle w:val="FirstParagraph"/>
      </w:pPr>
      <w:r>
        <w:rPr>
          <w:b/>
          <w:bCs/>
        </w:rPr>
        <w:t xml:space="preserve">Permutation null for between-subject dispersion.</w:t>
      </w:r>
      <w:r>
        <w:t xml:space="preserve"> </w:t>
      </w:r>
      <w:r>
        <w:t xml:space="preserve">With</w:t>
      </w:r>
      <w:r>
        <w:t xml:space="preserve"> </w:t>
      </w:r>
      <m:oMath>
        <m:sSubSup>
          <m:e>
            <m:r>
              <m:t>σ</m:t>
            </m:r>
          </m:e>
          <m:sub>
            <m:r>
              <m:rPr>
                <m:sty m:val="p"/>
              </m:rPr>
              <m:t>o</m:t>
            </m:r>
            <m:r>
              <m:rPr>
                <m:sty m:val="p"/>
              </m:rPr>
              <m:t>b</m:t>
            </m:r>
            <m:r>
              <m:rPr>
                <m:sty m:val="p"/>
              </m:rPr>
              <m:t>s</m:t>
            </m:r>
          </m:sub>
          <m:sup>
            <m:r>
              <m:rPr>
                <m:sty m:val="p"/>
              </m:rPr>
              <m:t>a</m:t>
            </m:r>
            <m:r>
              <m:rPr>
                <m:sty m:val="p"/>
              </m:rPr>
              <m:t>c</m:t>
            </m:r>
            <m:r>
              <m:rPr>
                <m:sty m:val="p"/>
              </m:rPr>
              <m:t>u</m:t>
            </m:r>
            <m:r>
              <m:rPr>
                <m:sty m:val="p"/>
              </m:rPr>
              <m:t>t</m:t>
            </m:r>
            <m:r>
              <m:rPr>
                <m:sty m:val="p"/>
              </m:rPr>
              <m:t>e</m:t>
            </m:r>
          </m:sup>
        </m:sSubSup>
      </m:oMath>
      <w:r>
        <w:t xml:space="preserve"> </w:t>
      </w:r>
      <w:r>
        <w:t xml:space="preserve">the observed standard deviation of</w:t>
      </w:r>
      <w:r>
        <w:t xml:space="preserve"> </w:t>
      </w:r>
      <m:oMath>
        <m:sSubSup>
          <m:e>
            <m:r>
              <m:rPr>
                <m:sty m:val="p"/>
              </m:rPr>
              <m:t>B</m:t>
            </m:r>
            <m:r>
              <m:rPr>
                <m:sty m:val="p"/>
              </m:rPr>
              <m:t>u</m:t>
            </m:r>
            <m:r>
              <m:rPr>
                <m:sty m:val="p"/>
              </m:rPr>
              <m:t>r</m:t>
            </m:r>
            <m:r>
              <m:rPr>
                <m:sty m:val="p"/>
              </m:rPr>
              <m:t>d</m:t>
            </m:r>
            <m:r>
              <m:rPr>
                <m:sty m:val="p"/>
              </m:rPr>
              <m:t>e</m:t>
            </m:r>
            <m:r>
              <m:rPr>
                <m:sty m:val="p"/>
              </m:rPr>
              <m:t>n</m:t>
            </m:r>
          </m:e>
          <m:sub>
            <m:r>
              <m:t>s</m:t>
            </m:r>
          </m:sub>
          <m:sup>
            <m:r>
              <m:rPr>
                <m:sty m:val="p"/>
              </m:rPr>
              <m:t>a</m:t>
            </m:r>
            <m:r>
              <m:rPr>
                <m:sty m:val="p"/>
              </m:rPr>
              <m:t>c</m:t>
            </m:r>
            <m:r>
              <m:rPr>
                <m:sty m:val="p"/>
              </m:rPr>
              <m:t>u</m:t>
            </m:r>
            <m:r>
              <m:rPr>
                <m:sty m:val="p"/>
              </m:rPr>
              <m:t>t</m:t>
            </m:r>
            <m:r>
              <m:rPr>
                <m:sty m:val="p"/>
              </m:rPr>
              <m:t>e</m:t>
            </m:r>
          </m:sup>
        </m:sSubSup>
      </m:oMath>
      <w:r>
        <w:t xml:space="preserve"> </w:t>
      </w:r>
      <w:r>
        <w:t xml:space="preserve">across subjects, and</w:t>
      </w:r>
      <w:r>
        <w:t xml:space="preserve"> </w:t>
      </w:r>
      <m:oMath>
        <m:sSubSup>
          <m:e>
            <m:r>
              <m:t>σ</m:t>
            </m:r>
          </m:e>
          <m:sub>
            <m:r>
              <m:t>b</m:t>
            </m:r>
          </m:sub>
          <m:sup>
            <m:r>
              <m:rPr>
                <m:sty m:val="p"/>
              </m:rPr>
              <m:t>a</m:t>
            </m:r>
            <m:r>
              <m:rPr>
                <m:sty m:val="p"/>
              </m:rPr>
              <m:t>c</m:t>
            </m:r>
            <m:r>
              <m:rPr>
                <m:sty m:val="p"/>
              </m:rPr>
              <m:t>u</m:t>
            </m:r>
            <m:r>
              <m:rPr>
                <m:sty m:val="p"/>
              </m:rPr>
              <m:t>t</m:t>
            </m:r>
            <m:r>
              <m:rPr>
                <m:sty m:val="p"/>
              </m:rPr>
              <m:t>e</m:t>
            </m:r>
          </m:sup>
        </m:sSubSup>
      </m:oMath>
      <w:r>
        <w:t xml:space="preserve"> </w:t>
      </w:r>
      <w:r>
        <w:t xml:space="preserve">the same statistic after permuting subject labels independently within each protein</w:t>
      </w:r>
      <w:r>
        <w:t xml:space="preserve"> </w:t>
      </w:r>
      <m:oMath>
        <m:r>
          <m:t>i</m:t>
        </m:r>
      </m:oMath>
      <w:r>
        <w:t xml:space="preserve"> </w:t>
      </w:r>
      <w:r>
        <w:t xml:space="preserve">for</w:t>
      </w:r>
      <w:r>
        <w:t xml:space="preserve"> </w:t>
      </w:r>
      <m:oMath>
        <m:r>
          <m:t>b</m:t>
        </m:r>
        <m:r>
          <m:rPr>
            <m:sty m:val="p"/>
          </m:rPr>
          <m:t>=</m:t>
        </m:r>
        <m:r>
          <m:t>1</m:t>
        </m:r>
        <m:r>
          <m:rPr>
            <m:sty m:val="p"/>
          </m:rPr>
          <m:t>,</m:t>
        </m:r>
        <m:r>
          <m:rPr>
            <m:sty m:val="p"/>
          </m:rPr>
          <m:t>…</m:t>
        </m:r>
        <m:r>
          <m:rPr>
            <m:sty m:val="p"/>
          </m:rPr>
          <m:t>,</m:t>
        </m:r>
        <m:r>
          <m:t>B</m:t>
        </m:r>
      </m:oMath>
      <w:r>
        <w:t xml:space="preserve"> </w:t>
      </w:r>
      <w:r>
        <w:t xml:space="preserve">iterations (</w:t>
      </w:r>
      <m:oMath>
        <m:r>
          <m:t>B</m:t>
        </m:r>
        <m:r>
          <m:rPr>
            <m:sty m:val="p"/>
          </m:rPr>
          <m:t>=</m:t>
        </m:r>
        <m:r>
          <m:t>500</m:t>
        </m:r>
      </m:oMath>
      <w:r>
        <w:t xml:space="preserve">):</w:t>
      </w:r>
    </w:p>
    <w:p>
      <w:pPr>
        <w:pStyle w:val="BodyText"/>
      </w:pPr>
      <m:oMathPara>
        <m:oMathParaPr>
          <m:jc m:val="center"/>
        </m:oMathParaPr>
        <m:oMath>
          <m:sSup>
            <m:e>
              <m:acc>
                <m:accPr>
                  <m:chr m:val="̂"/>
                </m:accPr>
                <m:e>
                  <m:r>
                    <m:t>p</m:t>
                  </m:r>
                </m:e>
              </m:acc>
            </m:e>
            <m:sup>
              <m:r>
                <m:rPr>
                  <m:sty m:val="p"/>
                </m:rPr>
                <m:t>a</m:t>
              </m:r>
              <m:r>
                <m:rPr>
                  <m:sty m:val="p"/>
                </m:rPr>
                <m:t>c</m:t>
              </m:r>
              <m:r>
                <m:rPr>
                  <m:sty m:val="p"/>
                </m:rPr>
                <m:t>u</m:t>
              </m:r>
              <m:r>
                <m:rPr>
                  <m:sty m:val="p"/>
                </m:rPr>
                <m:t>t</m:t>
              </m:r>
              <m:r>
                <m:rPr>
                  <m:sty m:val="p"/>
                </m:rPr>
                <m:t>e</m:t>
              </m:r>
            </m:sup>
          </m:sSup>
          <m:r>
            <m:rPr>
              <m:sty m:val="p"/>
            </m:rPr>
            <m:t>=</m:t>
          </m:r>
          <m:f>
            <m:fPr>
              <m:type m:val="bar"/>
            </m:fPr>
            <m:num>
              <m:r>
                <m:t>1</m:t>
              </m:r>
              <m:r>
                <m:rPr>
                  <m:sty m:val="p"/>
                </m:rPr>
                <m:t>+</m:t>
              </m:r>
              <m:r>
                <m:rPr>
                  <m:sty m:val="p"/>
                </m:rPr>
                <m:t>|</m:t>
              </m:r>
              <m:r>
                <m:rPr>
                  <m:sty m:val="p"/>
                </m:rPr>
                <m:t>{</m:t>
              </m:r>
              <m:r>
                <m:t> </m:t>
              </m:r>
              <m:r>
                <m:t>b</m:t>
              </m:r>
              <m:r>
                <m:rPr>
                  <m:sty m:val="p"/>
                </m:rPr>
                <m:t>:</m:t>
              </m:r>
              <m:sSubSup>
                <m:e>
                  <m:r>
                    <m:t>σ</m:t>
                  </m:r>
                </m:e>
                <m:sub>
                  <m:r>
                    <m:t>b</m:t>
                  </m:r>
                </m:sub>
                <m:sup>
                  <m:r>
                    <m:rPr>
                      <m:sty m:val="p"/>
                    </m:rPr>
                    <m:t>a</m:t>
                  </m:r>
                  <m:r>
                    <m:rPr>
                      <m:sty m:val="p"/>
                    </m:rPr>
                    <m:t>c</m:t>
                  </m:r>
                  <m:r>
                    <m:rPr>
                      <m:sty m:val="p"/>
                    </m:rPr>
                    <m:t>u</m:t>
                  </m:r>
                  <m:r>
                    <m:rPr>
                      <m:sty m:val="p"/>
                    </m:rPr>
                    <m:t>t</m:t>
                  </m:r>
                  <m:r>
                    <m:rPr>
                      <m:sty m:val="p"/>
                    </m:rPr>
                    <m:t>e</m:t>
                  </m:r>
                </m:sup>
              </m:sSubSup>
              <m:r>
                <m:rPr>
                  <m:sty m:val="p"/>
                </m:rPr>
                <m:t>≥</m:t>
              </m:r>
              <m:sSubSup>
                <m:e>
                  <m:r>
                    <m:t>σ</m:t>
                  </m:r>
                </m:e>
                <m:sub>
                  <m:r>
                    <m:rPr>
                      <m:sty m:val="p"/>
                    </m:rPr>
                    <m:t>o</m:t>
                  </m:r>
                  <m:r>
                    <m:rPr>
                      <m:sty m:val="p"/>
                    </m:rPr>
                    <m:t>b</m:t>
                  </m:r>
                  <m:r>
                    <m:rPr>
                      <m:sty m:val="p"/>
                    </m:rPr>
                    <m:t>s</m:t>
                  </m:r>
                </m:sub>
                <m:sup>
                  <m:r>
                    <m:rPr>
                      <m:sty m:val="p"/>
                    </m:rPr>
                    <m:t>a</m:t>
                  </m:r>
                  <m:r>
                    <m:rPr>
                      <m:sty m:val="p"/>
                    </m:rPr>
                    <m:t>c</m:t>
                  </m:r>
                  <m:r>
                    <m:rPr>
                      <m:sty m:val="p"/>
                    </m:rPr>
                    <m:t>u</m:t>
                  </m:r>
                  <m:r>
                    <m:rPr>
                      <m:sty m:val="p"/>
                    </m:rPr>
                    <m:t>t</m:t>
                  </m:r>
                  <m:r>
                    <m:rPr>
                      <m:sty m:val="p"/>
                    </m:rPr>
                    <m:t>e</m:t>
                  </m:r>
                </m:sup>
              </m:sSubSup>
              <m:r>
                <m:t> </m:t>
              </m:r>
              <m:r>
                <m:rPr>
                  <m:sty m:val="p"/>
                </m:rPr>
                <m:t>}</m:t>
              </m:r>
              <m:r>
                <m:rPr>
                  <m:sty m:val="p"/>
                </m:rPr>
                <m:t>|</m:t>
              </m:r>
            </m:num>
            <m:den>
              <m:r>
                <m:t>B</m:t>
              </m:r>
              <m:r>
                <m:rPr>
                  <m:sty m:val="p"/>
                </m:rPr>
                <m:t>+</m:t>
              </m:r>
              <m:r>
                <m:t>1</m:t>
              </m:r>
            </m:den>
          </m:f>
        </m:oMath>
      </m:oMathPara>
    </w:p>
    <w:p>
      <w:pPr>
        <w:pStyle w:val="FirstParagraph"/>
      </w:pPr>
      <w:r>
        <w:t xml:space="preserve">(Phipson-Smyth finite-permutation convention [13]; the same construction applies to</w:t>
      </w:r>
      <w:r>
        <w:t xml:space="preserve"> </w:t>
      </w:r>
      <m:oMath>
        <m:sSubSup>
          <m:e>
            <m:r>
              <m:rPr>
                <m:sty m:val="p"/>
              </m:rPr>
              <m:t>B</m:t>
            </m:r>
            <m:r>
              <m:rPr>
                <m:sty m:val="p"/>
              </m:rPr>
              <m:t>u</m:t>
            </m:r>
            <m:r>
              <m:rPr>
                <m:sty m:val="p"/>
              </m:rPr>
              <m:t>r</m:t>
            </m:r>
            <m:r>
              <m:rPr>
                <m:sty m:val="p"/>
              </m:rPr>
              <m:t>d</m:t>
            </m:r>
            <m:r>
              <m:rPr>
                <m:sty m:val="p"/>
              </m:rPr>
              <m:t>e</m:t>
            </m:r>
            <m:r>
              <m:rPr>
                <m:sty m:val="p"/>
              </m:rPr>
              <m:t>n</m:t>
            </m:r>
          </m:e>
          <m:sub>
            <m:r>
              <m:t>s</m:t>
            </m:r>
          </m:sub>
          <m:sup>
            <m:r>
              <m:rPr>
                <m:sty m:val="p"/>
              </m:rPr>
              <m:t>a</m:t>
            </m:r>
            <m:r>
              <m:rPr>
                <m:sty m:val="p"/>
              </m:rPr>
              <m:t>d</m:t>
            </m:r>
            <m:r>
              <m:rPr>
                <m:sty m:val="p"/>
              </m:rPr>
              <m:t>a</m:t>
            </m:r>
            <m:r>
              <m:rPr>
                <m:sty m:val="p"/>
              </m:rPr>
              <m:t>p</m:t>
            </m:r>
            <m:r>
              <m:rPr>
                <m:sty m:val="p"/>
              </m:rPr>
              <m:t>t</m:t>
            </m:r>
          </m:sup>
        </m:sSubSup>
      </m:oMath>
      <w:r>
        <w:t xml:space="preserve">). Reported</w:t>
      </w:r>
      <w:r>
        <w:t xml:space="preserve"> </w:t>
      </w:r>
      <m:oMath>
        <m:r>
          <m:t>p</m:t>
        </m:r>
      </m:oMath>
      <w:r>
        <w:t xml:space="preserve">-values are bounded below by</w:t>
      </w:r>
      <w:r>
        <w:t xml:space="preserve"> </w:t>
      </w:r>
      <m:oMath>
        <m:r>
          <m:t>1</m:t>
        </m:r>
        <m:r>
          <m:rPr>
            <m:sty m:val="p"/>
          </m:rPr>
          <m:t>/</m:t>
        </m:r>
        <m:r>
          <m:rPr>
            <m:sty m:val="p"/>
          </m:rPr>
          <m:t>(</m:t>
        </m:r>
        <m:r>
          <m:t>B</m:t>
        </m:r>
        <m:r>
          <m:rPr>
            <m:sty m:val="p"/>
          </m:rPr>
          <m:t>+</m:t>
        </m:r>
        <m:r>
          <m:t>1</m:t>
        </m:r>
        <m:r>
          <m:rPr>
            <m:sty m:val="p"/>
          </m:rPr>
          <m:t>)</m:t>
        </m:r>
      </m:oMath>
      <w:r>
        <w:t xml:space="preserve"> </w:t>
      </w:r>
      <w:r>
        <w:t xml:space="preserve">at this iteration depth.</w:t>
      </w:r>
    </w:p>
    <w:p>
      <w:pPr>
        <w:pStyle w:val="BodyText"/>
      </w:pPr>
      <w:r>
        <w:rPr>
          <w:b/>
          <w:bCs/>
        </w:rPr>
        <w:t xml:space="preserve">Responder-class binning.</w:t>
      </w:r>
      <w:r>
        <w:t xml:space="preserve"> </w:t>
      </w:r>
      <w:r>
        <w:t xml:space="preserve">Subjects were labelled by median splits on both burden axes into the four cells HighAcute×HighAdapt, HighAcute×LowAdapt, LowAcute×HighAdapt, LowAcute×LowAdapt. The binning is a descriptive visualisation convenience on continuous burden variation, not a classifier.</w:t>
      </w:r>
    </w:p>
    <w:p>
      <w:pPr>
        <w:pStyle w:val="BodyText"/>
      </w:pPr>
      <w:r>
        <w:t xml:space="preserve">Additional heterogeneity readouts:</w:t>
      </w:r>
    </w:p>
    <w:p>
      <w:pPr>
        <w:pStyle w:val="Compact"/>
        <w:numPr>
          <w:ilvl w:val="0"/>
          <w:numId w:val="1002"/>
        </w:numPr>
      </w:pPr>
      <w:r>
        <w:t xml:space="preserve">recurrent subject fingerprint proteins (frequency in per-subject top-5 absolute acute deltas),</w:t>
      </w:r>
    </w:p>
    <w:p>
      <w:pPr>
        <w:pStyle w:val="Compact"/>
        <w:numPr>
          <w:ilvl w:val="0"/>
          <w:numId w:val="1002"/>
        </w:numPr>
      </w:pPr>
      <w:r>
        <w:t xml:space="preserve">inter-individual acute variance ranking (protein SD across subjects),</w:t>
      </w:r>
    </w:p>
    <w:p>
      <w:pPr>
        <w:pStyle w:val="Compact"/>
        <w:numPr>
          <w:ilvl w:val="0"/>
          <w:numId w:val="1002"/>
        </w:numPr>
      </w:pPr>
      <w:r>
        <w:t xml:space="preserve">module trajectory scores for heat-shock, immune, vascular, and ECM-remodeling feature sets.</w:t>
      </w:r>
    </w:p>
    <w:p>
      <w:pPr>
        <w:pStyle w:val="FirstParagraph"/>
      </w:pPr>
      <w:r>
        <w:t xml:space="preserve">Module trajectory scores were computed as mean per-subject delta across pre-specified small protein sets represented on the Olink panel (heat-shock n=4, immune n=10, vascular n=7, ECM-remodeling n=8), with one score per module per contrast, following standard gene-set-summarisation logic [14]. Full per-module protein membership is in supplementary</w:t>
      </w:r>
      <w:r>
        <w:t xml:space="preserve"> </w:t>
      </w:r>
      <w:r>
        <w:rPr>
          <w:rStyle w:val="VerbatimChar"/>
        </w:rPr>
        <w:t xml:space="preserve">modules_full.tsv</w:t>
      </w:r>
      <w:r>
        <w:t xml:space="preserve">. The immune module was restricted to single-panel-representation genes so that four-panel overlap proteins (IL6, TNF, CXCL8) would not be double-counted by the aggregator.</w:t>
      </w:r>
    </w:p>
    <w:p>
      <w:pPr>
        <w:pStyle w:val="BodyText"/>
      </w:pPr>
      <w:r>
        <w:t xml:space="preserve">Burden sensitivity analyses included:</w:t>
      </w:r>
    </w:p>
    <w:p>
      <w:pPr>
        <w:pStyle w:val="Compact"/>
        <w:numPr>
          <w:ilvl w:val="0"/>
          <w:numId w:val="1003"/>
        </w:numPr>
      </w:pPr>
      <w:r>
        <w:t xml:space="preserve">top-500 acute-variance restricted burden,</w:t>
      </w:r>
    </w:p>
    <w:p>
      <w:pPr>
        <w:pStyle w:val="Compact"/>
        <w:numPr>
          <w:ilvl w:val="0"/>
          <w:numId w:val="1003"/>
        </w:numPr>
      </w:pPr>
      <w:r>
        <w:t xml:space="preserve">inverse-variance weighted burden.</w:t>
      </w:r>
    </w:p>
    <w:p>
      <w:pPr>
        <w:pStyle w:val="FirstParagraph"/>
      </w:pPr>
      <w:r>
        <w:t xml:space="preserve">Agreement with baseline burden was quantified with Spearman correlation.</w:t>
      </w:r>
    </w:p>
    <w:bookmarkEnd w:id="33"/>
    <w:bookmarkStart w:id="34" w:name="provocation-contrast-asymmetry"/>
    <w:p>
      <w:pPr>
        <w:pStyle w:val="Heading3"/>
      </w:pPr>
      <w:r>
        <w:t xml:space="preserve">Provocation-contrast asymmetry</w:t>
      </w:r>
    </w:p>
    <w:p>
      <w:pPr>
        <w:pStyle w:val="FirstParagraph"/>
      </w:pPr>
      <w:r>
        <w:t xml:space="preserve">The</w:t>
      </w:r>
      <w:r>
        <w:t xml:space="preserve"> </w:t>
      </w:r>
      <w:r>
        <w:rPr>
          <w:rStyle w:val="VerbatimChar"/>
        </w:rPr>
        <w:t xml:space="preserve">asymmetry</w:t>
      </w:r>
      <w:r>
        <w:t xml:space="preserve"> </w:t>
      </w:r>
      <w:r>
        <w:t xml:space="preserve">subcommand quantifies imbalance between paired contrast families used to distinguish provocation-driven effects (e.g. PT2-PT1, the post-acclimation acute challenge) from baseline-shift effects (e.g. PR2-PR1, the rest-state acclimation drift). For a pair of contrasts</w:t>
      </w:r>
      <w:r>
        <w:t xml:space="preserve"> </w:t>
      </w:r>
      <m:oMath>
        <m:r>
          <m:rPr>
            <m:sty m:val="p"/>
          </m:rPr>
          <m:t>(</m:t>
        </m:r>
        <m:r>
          <m:t>A</m:t>
        </m:r>
        <m:r>
          <m:rPr>
            <m:sty m:val="p"/>
          </m:rPr>
          <m:t>,</m:t>
        </m:r>
        <m:r>
          <m:t>B</m:t>
        </m:r>
        <m:r>
          <m:rPr>
            <m:sty m:val="p"/>
          </m:rPr>
          <m:t>)</m:t>
        </m:r>
      </m:oMath>
      <w:r>
        <w:t xml:space="preserve"> </w:t>
      </w:r>
      <w:r>
        <w:t xml:space="preserve">evaluated over the set</w:t>
      </w:r>
      <w:r>
        <w:t xml:space="preserve"> </w:t>
      </w:r>
      <m:oMath>
        <m:sSub>
          <m:e>
            <m:r>
              <m:t>C</m:t>
            </m:r>
          </m:e>
          <m:sub>
            <m:r>
              <m:t>A</m:t>
            </m:r>
            <m:r>
              <m:rPr>
                <m:sty m:val="p"/>
              </m:rPr>
              <m:t>,</m:t>
            </m:r>
            <m:r>
              <m:t>B</m:t>
            </m:r>
          </m:sub>
        </m:sSub>
      </m:oMath>
      <w:r>
        <w:t xml:space="preserve"> </w:t>
      </w:r>
      <w:r>
        <w:t xml:space="preserve">of proteins tested in both, with per-protein effects</w:t>
      </w:r>
      <w:r>
        <w:t xml:space="preserve"> </w:t>
      </w:r>
      <m:oMath>
        <m:sSubSup>
          <m:e>
            <m:acc>
              <m:accPr>
                <m:chr m:val="‾"/>
              </m:accPr>
              <m:e>
                <m:r>
                  <m:t>d</m:t>
                </m:r>
              </m:e>
            </m:acc>
          </m:e>
          <m:sub>
            <m:r>
              <m:t>i</m:t>
            </m:r>
          </m:sub>
          <m:sup>
            <m:r>
              <m:t>A</m:t>
            </m:r>
          </m:sup>
        </m:sSubSup>
      </m:oMath>
      <w:r>
        <w:t xml:space="preserve">,</w:t>
      </w:r>
      <w:r>
        <w:t xml:space="preserve"> </w:t>
      </w:r>
      <m:oMath>
        <m:sSubSup>
          <m:e>
            <m:acc>
              <m:accPr>
                <m:chr m:val="‾"/>
              </m:accPr>
              <m:e>
                <m:r>
                  <m:t>d</m:t>
                </m:r>
              </m:e>
            </m:acc>
          </m:e>
          <m:sub>
            <m:r>
              <m:t>i</m:t>
            </m:r>
          </m:sub>
          <m:sup>
            <m:r>
              <m:t>B</m:t>
            </m:r>
          </m:sup>
        </m:sSubSup>
      </m:oMath>
      <w:r>
        <w:t xml:space="preserve"> </w:t>
      </w:r>
      <w:r>
        <w:t xml:space="preserve">and</w:t>
      </w:r>
      <w:r>
        <w:t xml:space="preserve"> </w:t>
      </w:r>
      <m:oMath>
        <m:r>
          <m:t>q</m:t>
        </m:r>
      </m:oMath>
      <w:r>
        <w:t xml:space="preserve">-values</w:t>
      </w:r>
      <w:r>
        <w:t xml:space="preserve"> </w:t>
      </w:r>
      <m:oMath>
        <m:sSubSup>
          <m:e>
            <m:r>
              <m:t>q</m:t>
            </m:r>
          </m:e>
          <m:sub>
            <m:r>
              <m:t>i</m:t>
            </m:r>
          </m:sub>
          <m:sup>
            <m:r>
              <m:t>A</m:t>
            </m:r>
          </m:sup>
        </m:sSubSup>
      </m:oMath>
      <w:r>
        <w:t xml:space="preserve">,</w:t>
      </w:r>
      <w:r>
        <w:t xml:space="preserve"> </w:t>
      </w:r>
      <m:oMath>
        <m:sSubSup>
          <m:e>
            <m:r>
              <m:t>q</m:t>
            </m:r>
          </m:e>
          <m:sub>
            <m:r>
              <m:t>i</m:t>
            </m:r>
          </m:sub>
          <m:sup>
            <m:r>
              <m:t>B</m:t>
            </m:r>
          </m:sup>
        </m:sSubSup>
      </m:oMath>
      <w:r>
        <w:t xml:space="preserve">:</w:t>
      </w:r>
    </w:p>
    <w:p>
      <w:pPr>
        <w:pStyle w:val="BodyText"/>
      </w:pPr>
      <m:oMathPara>
        <m:oMathParaPr>
          <m:jc m:val="center"/>
        </m:oMathParaPr>
        <m:oMath>
          <m:sSubSup>
            <m:e>
              <m:r>
                <m:t>R</m:t>
              </m:r>
            </m:e>
            <m:sub>
              <m:r>
                <m:t>A</m:t>
              </m:r>
              <m:r>
                <m:rPr>
                  <m:sty m:val="p"/>
                </m:rPr>
                <m:t>/</m:t>
              </m:r>
              <m:r>
                <m:t>B</m:t>
              </m:r>
            </m:sub>
            <m:sup>
              <m:r>
                <m:t>α</m:t>
              </m:r>
            </m:sup>
          </m:sSubSup>
          <m:r>
            <m:rPr>
              <m:sty m:val="p"/>
            </m:rPr>
            <m:t>=</m:t>
          </m:r>
          <m:f>
            <m:fPr>
              <m:type m:val="bar"/>
            </m:fPr>
            <m:num>
              <m:r>
                <m:rPr>
                  <m:sty m:val="p"/>
                </m:rPr>
                <m:t>|</m:t>
              </m:r>
              <m:r>
                <m:rPr>
                  <m:sty m:val="p"/>
                </m:rPr>
                <m:t>{</m:t>
              </m:r>
              <m:r>
                <m:t> </m:t>
              </m:r>
              <m:r>
                <m:t>i</m:t>
              </m:r>
              <m:r>
                <m:rPr>
                  <m:sty m:val="p"/>
                </m:rPr>
                <m:t>∈</m:t>
              </m:r>
              <m:sSub>
                <m:e>
                  <m:r>
                    <m:t>C</m:t>
                  </m:r>
                </m:e>
                <m:sub>
                  <m:r>
                    <m:t>A</m:t>
                  </m:r>
                  <m:r>
                    <m:rPr>
                      <m:sty m:val="p"/>
                    </m:rPr>
                    <m:t>,</m:t>
                  </m:r>
                  <m:r>
                    <m:t>B</m:t>
                  </m:r>
                </m:sub>
              </m:sSub>
              <m:r>
                <m:rPr>
                  <m:sty m:val="p"/>
                </m:rPr>
                <m:t>:</m:t>
              </m:r>
              <m:sSubSup>
                <m:e>
                  <m:r>
                    <m:t>q</m:t>
                  </m:r>
                </m:e>
                <m:sub>
                  <m:r>
                    <m:t>i</m:t>
                  </m:r>
                </m:sub>
                <m:sup>
                  <m:r>
                    <m:t>A</m:t>
                  </m:r>
                </m:sup>
              </m:sSubSup>
              <m:r>
                <m:rPr>
                  <m:sty m:val="p"/>
                </m:rPr>
                <m:t>&lt;</m:t>
              </m:r>
              <m:r>
                <m:t>α</m:t>
              </m:r>
              <m:r>
                <m:t> </m:t>
              </m:r>
              <m:r>
                <m:rPr>
                  <m:sty m:val="p"/>
                </m:rPr>
                <m:t>}</m:t>
              </m:r>
              <m:r>
                <m:rPr>
                  <m:sty m:val="p"/>
                </m:rPr>
                <m:t>|</m:t>
              </m:r>
            </m:num>
            <m:den>
              <m:r>
                <m:rPr>
                  <m:sty m:val="p"/>
                </m:rPr>
                <m:t>|</m:t>
              </m:r>
              <m:r>
                <m:rPr>
                  <m:sty m:val="p"/>
                </m:rPr>
                <m:t>{</m:t>
              </m:r>
              <m:r>
                <m:t> </m:t>
              </m:r>
              <m:r>
                <m:t>i</m:t>
              </m:r>
              <m:r>
                <m:rPr>
                  <m:sty m:val="p"/>
                </m:rPr>
                <m:t>∈</m:t>
              </m:r>
              <m:sSub>
                <m:e>
                  <m:r>
                    <m:t>C</m:t>
                  </m:r>
                </m:e>
                <m:sub>
                  <m:r>
                    <m:t>A</m:t>
                  </m:r>
                  <m:r>
                    <m:rPr>
                      <m:sty m:val="p"/>
                    </m:rPr>
                    <m:t>,</m:t>
                  </m:r>
                  <m:r>
                    <m:t>B</m:t>
                  </m:r>
                </m:sub>
              </m:sSub>
              <m:r>
                <m:rPr>
                  <m:sty m:val="p"/>
                </m:rPr>
                <m:t>:</m:t>
              </m:r>
              <m:sSubSup>
                <m:e>
                  <m:r>
                    <m:t>q</m:t>
                  </m:r>
                </m:e>
                <m:sub>
                  <m:r>
                    <m:t>i</m:t>
                  </m:r>
                </m:sub>
                <m:sup>
                  <m:r>
                    <m:t>B</m:t>
                  </m:r>
                </m:sup>
              </m:sSubSup>
              <m:r>
                <m:rPr>
                  <m:sty m:val="p"/>
                </m:rPr>
                <m:t>&lt;</m:t>
              </m:r>
              <m:r>
                <m:t>α</m:t>
              </m:r>
              <m:r>
                <m:t> </m:t>
              </m:r>
              <m:r>
                <m:rPr>
                  <m:sty m:val="p"/>
                </m:rPr>
                <m:t>}</m:t>
              </m:r>
              <m:r>
                <m:rPr>
                  <m:sty m:val="p"/>
                </m:rPr>
                <m:t>|</m:t>
              </m:r>
            </m:den>
          </m:f>
          <m:r>
            <m:rPr>
              <m:sty m:val="p"/>
            </m:rPr>
            <m:t>,</m:t>
          </m:r>
          <m:r>
            <m:t>  </m:t>
          </m:r>
          <m:r>
            <m:t>α</m:t>
          </m:r>
          <m:r>
            <m:rPr>
              <m:sty m:val="p"/>
            </m:rPr>
            <m:t>∈</m:t>
          </m:r>
          <m:r>
            <m:rPr>
              <m:sty m:val="p"/>
            </m:rPr>
            <m:t>{</m:t>
          </m:r>
          <m:r>
            <m:t>0.05</m:t>
          </m:r>
          <m:r>
            <m:rPr>
              <m:sty m:val="p"/>
            </m:rPr>
            <m:t>,</m:t>
          </m:r>
          <m:r>
            <m:t>0.10</m:t>
          </m:r>
          <m:r>
            <m:rPr>
              <m:sty m:val="p"/>
            </m:rPr>
            <m:t>}</m:t>
          </m:r>
          <m:r>
            <m:rPr>
              <m:sty m:val="p"/>
            </m:rPr>
            <m:t>,</m:t>
          </m:r>
        </m:oMath>
      </m:oMathPara>
    </w:p>
    <w:p>
      <w:pPr>
        <w:pStyle w:val="FirstParagraph"/>
      </w:pPr>
      <m:oMathPara>
        <m:oMathParaPr>
          <m:jc m:val="center"/>
        </m:oMathParaPr>
        <m:oMath>
          <m:sSubSup>
            <m:e>
              <m:r>
                <m:t>R</m:t>
              </m:r>
            </m:e>
            <m:sub>
              <m:r>
                <m:t>A</m:t>
              </m:r>
              <m:r>
                <m:rPr>
                  <m:sty m:val="p"/>
                </m:rPr>
                <m:t>/</m:t>
              </m:r>
              <m:r>
                <m:t>B</m:t>
              </m:r>
            </m:sub>
            <m:sup>
              <m:r>
                <m:rPr>
                  <m:sty m:val="p"/>
                </m:rPr>
                <m:t>e</m:t>
              </m:r>
              <m:r>
                <m:rPr>
                  <m:sty m:val="p"/>
                </m:rPr>
                <m:t>f</m:t>
              </m:r>
              <m:r>
                <m:rPr>
                  <m:sty m:val="p"/>
                </m:rPr>
                <m:t>f</m:t>
              </m:r>
            </m:sup>
          </m:sSubSup>
          <m:r>
            <m:rPr>
              <m:sty m:val="p"/>
            </m:rPr>
            <m:t>=</m:t>
          </m:r>
          <m:f>
            <m:fPr>
              <m:type m:val="bar"/>
            </m:fPr>
            <m:num>
              <m:sSub>
                <m:e>
                  <m:r>
                    <m:rPr>
                      <m:sty m:val="p"/>
                    </m:rPr>
                    <m:t>m</m:t>
                  </m:r>
                  <m:r>
                    <m:rPr>
                      <m:sty m:val="p"/>
                    </m:rPr>
                    <m:t>e</m:t>
                  </m:r>
                  <m:r>
                    <m:rPr>
                      <m:sty m:val="p"/>
                    </m:rPr>
                    <m:t>d</m:t>
                  </m:r>
                  <m:r>
                    <m:rPr>
                      <m:sty m:val="p"/>
                    </m:rPr>
                    <m:t>i</m:t>
                  </m:r>
                  <m:r>
                    <m:rPr>
                      <m:sty m:val="p"/>
                    </m:rPr>
                    <m:t>a</m:t>
                  </m:r>
                  <m:r>
                    <m:rPr>
                      <m:sty m:val="p"/>
                    </m:rPr>
                    <m:t>n</m:t>
                  </m:r>
                </m:e>
                <m:sub>
                  <m:r>
                    <m:t>i</m:t>
                  </m:r>
                  <m:r>
                    <m:rPr>
                      <m:sty m:val="p"/>
                    </m:rPr>
                    <m:t>∈</m:t>
                  </m:r>
                  <m:sSub>
                    <m:e>
                      <m:r>
                        <m:t>C</m:t>
                      </m:r>
                    </m:e>
                    <m:sub>
                      <m:r>
                        <m:t>A</m:t>
                      </m:r>
                      <m:r>
                        <m:rPr>
                          <m:sty m:val="p"/>
                        </m:rPr>
                        <m:t>,</m:t>
                      </m:r>
                      <m:r>
                        <m:t>B</m:t>
                      </m:r>
                    </m:sub>
                  </m:sSub>
                </m:sub>
              </m:sSub>
              <m:r>
                <m:rPr>
                  <m:sty m:val="p"/>
                </m:rPr>
                <m:t>|</m:t>
              </m:r>
              <m:sSubSup>
                <m:e>
                  <m:acc>
                    <m:accPr>
                      <m:chr m:val="‾"/>
                    </m:accPr>
                    <m:e>
                      <m:r>
                        <m:t>d</m:t>
                      </m:r>
                    </m:e>
                  </m:acc>
                </m:e>
                <m:sub>
                  <m:r>
                    <m:t>i</m:t>
                  </m:r>
                </m:sub>
                <m:sup>
                  <m:r>
                    <m:t>A</m:t>
                  </m:r>
                </m:sup>
              </m:sSubSup>
              <m:r>
                <m:rPr>
                  <m:sty m:val="p"/>
                </m:rPr>
                <m:t>|</m:t>
              </m:r>
            </m:num>
            <m:den>
              <m:sSub>
                <m:e>
                  <m:r>
                    <m:rPr>
                      <m:sty m:val="p"/>
                    </m:rPr>
                    <m:t>m</m:t>
                  </m:r>
                  <m:r>
                    <m:rPr>
                      <m:sty m:val="p"/>
                    </m:rPr>
                    <m:t>e</m:t>
                  </m:r>
                  <m:r>
                    <m:rPr>
                      <m:sty m:val="p"/>
                    </m:rPr>
                    <m:t>d</m:t>
                  </m:r>
                  <m:r>
                    <m:rPr>
                      <m:sty m:val="p"/>
                    </m:rPr>
                    <m:t>i</m:t>
                  </m:r>
                  <m:r>
                    <m:rPr>
                      <m:sty m:val="p"/>
                    </m:rPr>
                    <m:t>a</m:t>
                  </m:r>
                  <m:r>
                    <m:rPr>
                      <m:sty m:val="p"/>
                    </m:rPr>
                    <m:t>n</m:t>
                  </m:r>
                </m:e>
                <m:sub>
                  <m:r>
                    <m:t>i</m:t>
                  </m:r>
                  <m:r>
                    <m:rPr>
                      <m:sty m:val="p"/>
                    </m:rPr>
                    <m:t>∈</m:t>
                  </m:r>
                  <m:sSub>
                    <m:e>
                      <m:r>
                        <m:t>C</m:t>
                      </m:r>
                    </m:e>
                    <m:sub>
                      <m:r>
                        <m:t>A</m:t>
                      </m:r>
                      <m:r>
                        <m:rPr>
                          <m:sty m:val="p"/>
                        </m:rPr>
                        <m:t>,</m:t>
                      </m:r>
                      <m:r>
                        <m:t>B</m:t>
                      </m:r>
                    </m:sub>
                  </m:sSub>
                </m:sub>
              </m:sSub>
              <m:r>
                <m:rPr>
                  <m:sty m:val="p"/>
                </m:rPr>
                <m:t>|</m:t>
              </m:r>
              <m:sSubSup>
                <m:e>
                  <m:acc>
                    <m:accPr>
                      <m:chr m:val="‾"/>
                    </m:accPr>
                    <m:e>
                      <m:r>
                        <m:t>d</m:t>
                      </m:r>
                    </m:e>
                  </m:acc>
                </m:e>
                <m:sub>
                  <m:r>
                    <m:t>i</m:t>
                  </m:r>
                </m:sub>
                <m:sup>
                  <m:r>
                    <m:t>B</m:t>
                  </m:r>
                </m:sup>
              </m:sSubSup>
              <m:r>
                <m:rPr>
                  <m:sty m:val="p"/>
                </m:rPr>
                <m:t>|</m:t>
              </m:r>
            </m:den>
          </m:f>
          <m:r>
            <m:rPr>
              <m:sty m:val="p"/>
            </m:rPr>
            <m:t>,</m:t>
          </m:r>
        </m:oMath>
      </m:oMathPara>
    </w:p>
    <w:p>
      <w:pPr>
        <w:pStyle w:val="FirstParagraph"/>
      </w:pPr>
      <m:oMathPara>
        <m:oMathParaPr>
          <m:jc m:val="center"/>
        </m:oMathParaPr>
        <m:oMath>
          <m:sSub>
            <m:e>
              <m:r>
                <m:rPr>
                  <m:sty m:val="p"/>
                </m:rPr>
                <m:t>S</m:t>
              </m:r>
              <m:r>
                <m:rPr>
                  <m:sty m:val="p"/>
                </m:rPr>
                <m:t>C</m:t>
              </m:r>
              <m:r>
                <m:rPr>
                  <m:sty m:val="p"/>
                </m:rPr>
                <m:t>R</m:t>
              </m:r>
            </m:e>
            <m:sub>
              <m:r>
                <m:t>A</m:t>
              </m:r>
              <m:r>
                <m:rPr>
                  <m:sty m:val="p"/>
                </m:rPr>
                <m:t>,</m:t>
              </m:r>
              <m:r>
                <m:t>B</m:t>
              </m:r>
            </m:sub>
          </m:sSub>
          <m:r>
            <m:rPr>
              <m:sty m:val="p"/>
            </m:rPr>
            <m:t>=</m:t>
          </m:r>
          <m:f>
            <m:fPr>
              <m:type m:val="bar"/>
            </m:fPr>
            <m:num>
              <m:r>
                <m:rPr>
                  <m:sty m:val="p"/>
                </m:rPr>
                <m:t>|</m:t>
              </m:r>
              <m:r>
                <m:rPr>
                  <m:sty m:val="p"/>
                </m:rPr>
                <m:t>{</m:t>
              </m:r>
              <m:r>
                <m:t> </m:t>
              </m:r>
              <m:r>
                <m:t>i</m:t>
              </m:r>
              <m:r>
                <m:rPr>
                  <m:sty m:val="p"/>
                </m:rPr>
                <m:t>∈</m:t>
              </m:r>
              <m:sSub>
                <m:e>
                  <m:r>
                    <m:t>C</m:t>
                  </m:r>
                </m:e>
                <m:sub>
                  <m:r>
                    <m:t>A</m:t>
                  </m:r>
                  <m:r>
                    <m:rPr>
                      <m:sty m:val="p"/>
                    </m:rPr>
                    <m:t>,</m:t>
                  </m:r>
                  <m:r>
                    <m:t>B</m:t>
                  </m:r>
                </m:sub>
              </m:sSub>
              <m:r>
                <m:rPr>
                  <m:sty m:val="p"/>
                </m:rPr>
                <m:t>:</m:t>
              </m:r>
              <m:r>
                <m:rPr>
                  <m:sty m:val="p"/>
                </m:rPr>
                <m:t>sgn</m:t>
              </m:r>
              <m:r>
                <m:rPr>
                  <m:sty m:val="p"/>
                </m:rPr>
                <m:t>(</m:t>
              </m:r>
              <m:sSubSup>
                <m:e>
                  <m:acc>
                    <m:accPr>
                      <m:chr m:val="‾"/>
                    </m:accPr>
                    <m:e>
                      <m:r>
                        <m:t>d</m:t>
                      </m:r>
                    </m:e>
                  </m:acc>
                </m:e>
                <m:sub>
                  <m:r>
                    <m:t>i</m:t>
                  </m:r>
                </m:sub>
                <m:sup>
                  <m:r>
                    <m:t>A</m:t>
                  </m:r>
                </m:sup>
              </m:sSubSup>
              <m:r>
                <m:rPr>
                  <m:sty m:val="p"/>
                </m:rPr>
                <m:t>)</m:t>
              </m:r>
              <m:r>
                <m:rPr>
                  <m:sty m:val="p"/>
                </m:rPr>
                <m:t>=</m:t>
              </m:r>
              <m:r>
                <m:rPr>
                  <m:sty m:val="p"/>
                </m:rPr>
                <m:t>sgn</m:t>
              </m:r>
              <m:r>
                <m:rPr>
                  <m:sty m:val="p"/>
                </m:rPr>
                <m:t>(</m:t>
              </m:r>
              <m:sSubSup>
                <m:e>
                  <m:acc>
                    <m:accPr>
                      <m:chr m:val="‾"/>
                    </m:accPr>
                    <m:e>
                      <m:r>
                        <m:t>d</m:t>
                      </m:r>
                    </m:e>
                  </m:acc>
                </m:e>
                <m:sub>
                  <m:r>
                    <m:t>i</m:t>
                  </m:r>
                </m:sub>
                <m:sup>
                  <m:r>
                    <m:t>B</m:t>
                  </m:r>
                </m:sup>
              </m:sSubSup>
              <m:r>
                <m:rPr>
                  <m:sty m:val="p"/>
                </m:rPr>
                <m:t>)</m:t>
              </m:r>
              <m:r>
                <m:rPr>
                  <m:sty m:val="p"/>
                </m:rPr>
                <m:t>,</m:t>
              </m:r>
              <m:r>
                <m:t> </m:t>
              </m:r>
              <m:sSubSup>
                <m:e>
                  <m:acc>
                    <m:accPr>
                      <m:chr m:val="‾"/>
                    </m:accPr>
                    <m:e>
                      <m:r>
                        <m:t>d</m:t>
                      </m:r>
                    </m:e>
                  </m:acc>
                </m:e>
                <m:sub>
                  <m:r>
                    <m:t>i</m:t>
                  </m:r>
                </m:sub>
                <m:sup>
                  <m:r>
                    <m:t>A</m:t>
                  </m:r>
                </m:sup>
              </m:sSubSup>
              <m:r>
                <m:rPr>
                  <m:sty m:val="p"/>
                </m:rPr>
                <m:t>≠</m:t>
              </m:r>
              <m:r>
                <m:t>0</m:t>
              </m:r>
              <m:r>
                <m:rPr>
                  <m:sty m:val="p"/>
                </m:rPr>
                <m:t>,</m:t>
              </m:r>
              <m:r>
                <m:t> </m:t>
              </m:r>
              <m:sSubSup>
                <m:e>
                  <m:acc>
                    <m:accPr>
                      <m:chr m:val="‾"/>
                    </m:accPr>
                    <m:e>
                      <m:r>
                        <m:t>d</m:t>
                      </m:r>
                    </m:e>
                  </m:acc>
                </m:e>
                <m:sub>
                  <m:r>
                    <m:t>i</m:t>
                  </m:r>
                </m:sub>
                <m:sup>
                  <m:r>
                    <m:t>B</m:t>
                  </m:r>
                </m:sup>
              </m:sSubSup>
              <m:r>
                <m:rPr>
                  <m:sty m:val="p"/>
                </m:rPr>
                <m:t>≠</m:t>
              </m:r>
              <m:r>
                <m:t>0</m:t>
              </m:r>
              <m:r>
                <m:t> </m:t>
              </m:r>
              <m:r>
                <m:rPr>
                  <m:sty m:val="p"/>
                </m:rPr>
                <m:t>}</m:t>
              </m:r>
              <m:r>
                <m:rPr>
                  <m:sty m:val="p"/>
                </m:rPr>
                <m:t>|</m:t>
              </m:r>
            </m:num>
            <m:den>
              <m:r>
                <m:rPr>
                  <m:sty m:val="p"/>
                </m:rPr>
                <m:t>|</m:t>
              </m:r>
              <m:r>
                <m:rPr>
                  <m:sty m:val="p"/>
                </m:rPr>
                <m:t>{</m:t>
              </m:r>
              <m:r>
                <m:t> </m:t>
              </m:r>
              <m:r>
                <m:t>i</m:t>
              </m:r>
              <m:r>
                <m:rPr>
                  <m:sty m:val="p"/>
                </m:rPr>
                <m:t>∈</m:t>
              </m:r>
              <m:sSub>
                <m:e>
                  <m:r>
                    <m:t>C</m:t>
                  </m:r>
                </m:e>
                <m:sub>
                  <m:r>
                    <m:t>A</m:t>
                  </m:r>
                  <m:r>
                    <m:rPr>
                      <m:sty m:val="p"/>
                    </m:rPr>
                    <m:t>,</m:t>
                  </m:r>
                  <m:r>
                    <m:t>B</m:t>
                  </m:r>
                </m:sub>
              </m:sSub>
              <m:r>
                <m:rPr>
                  <m:sty m:val="p"/>
                </m:rPr>
                <m:t>:</m:t>
              </m:r>
              <m:sSubSup>
                <m:e>
                  <m:acc>
                    <m:accPr>
                      <m:chr m:val="‾"/>
                    </m:accPr>
                    <m:e>
                      <m:r>
                        <m:t>d</m:t>
                      </m:r>
                    </m:e>
                  </m:acc>
                </m:e>
                <m:sub>
                  <m:r>
                    <m:t>i</m:t>
                  </m:r>
                </m:sub>
                <m:sup>
                  <m:r>
                    <m:t>A</m:t>
                  </m:r>
                </m:sup>
              </m:sSubSup>
              <m:r>
                <m:rPr>
                  <m:sty m:val="p"/>
                </m:rPr>
                <m:t>≠</m:t>
              </m:r>
              <m:r>
                <m:t>0</m:t>
              </m:r>
              <m:r>
                <m:rPr>
                  <m:sty m:val="p"/>
                </m:rPr>
                <m:t>,</m:t>
              </m:r>
              <m:r>
                <m:t> </m:t>
              </m:r>
              <m:sSubSup>
                <m:e>
                  <m:acc>
                    <m:accPr>
                      <m:chr m:val="‾"/>
                    </m:accPr>
                    <m:e>
                      <m:r>
                        <m:t>d</m:t>
                      </m:r>
                    </m:e>
                  </m:acc>
                </m:e>
                <m:sub>
                  <m:r>
                    <m:t>i</m:t>
                  </m:r>
                </m:sub>
                <m:sup>
                  <m:r>
                    <m:t>B</m:t>
                  </m:r>
                </m:sup>
              </m:sSubSup>
              <m:r>
                <m:rPr>
                  <m:sty m:val="p"/>
                </m:rPr>
                <m:t>≠</m:t>
              </m:r>
              <m:r>
                <m:t>0</m:t>
              </m:r>
              <m:r>
                <m:t> </m:t>
              </m:r>
              <m:r>
                <m:rPr>
                  <m:sty m:val="p"/>
                </m:rPr>
                <m:t>}</m:t>
              </m:r>
              <m:r>
                <m:rPr>
                  <m:sty m:val="p"/>
                </m:rPr>
                <m:t>|</m:t>
              </m:r>
            </m:den>
          </m:f>
          <m:r>
            <m:rPr>
              <m:sty m:val="p"/>
            </m:rPr>
            <m:t>.</m:t>
          </m:r>
        </m:oMath>
      </m:oMathPara>
    </w:p>
    <w:p>
      <w:pPr>
        <w:pStyle w:val="FirstParagraph"/>
      </w:pPr>
      <m:oMath>
        <m:sSubSup>
          <m:e>
            <m:r>
              <m:t>R</m:t>
            </m:r>
          </m:e>
          <m:sub>
            <m:r>
              <m:t>A</m:t>
            </m:r>
            <m:r>
              <m:rPr>
                <m:sty m:val="p"/>
              </m:rPr>
              <m:t>/</m:t>
            </m:r>
            <m:r>
              <m:t>B</m:t>
            </m:r>
          </m:sub>
          <m:sup>
            <m:r>
              <m:t>α</m:t>
            </m:r>
          </m:sup>
        </m:sSubSup>
      </m:oMath>
      <w:r>
        <w:t xml:space="preserve"> </w:t>
      </w:r>
      <w:r>
        <w:t xml:space="preserve">and</w:t>
      </w:r>
      <w:r>
        <w:t xml:space="preserve"> </w:t>
      </w:r>
      <m:oMath>
        <m:sSubSup>
          <m:e>
            <m:r>
              <m:t>R</m:t>
            </m:r>
          </m:e>
          <m:sub>
            <m:r>
              <m:t>A</m:t>
            </m:r>
            <m:r>
              <m:rPr>
                <m:sty m:val="p"/>
              </m:rPr>
              <m:t>/</m:t>
            </m:r>
            <m:r>
              <m:t>B</m:t>
            </m:r>
          </m:sub>
          <m:sup>
            <m:r>
              <m:rPr>
                <m:sty m:val="p"/>
              </m:rPr>
              <m:t>e</m:t>
            </m:r>
            <m:r>
              <m:rPr>
                <m:sty m:val="p"/>
              </m:rPr>
              <m:t>f</m:t>
            </m:r>
            <m:r>
              <m:rPr>
                <m:sty m:val="p"/>
              </m:rPr>
              <m:t>f</m:t>
            </m:r>
          </m:sup>
        </m:sSubSup>
      </m:oMath>
      <w:r>
        <w:t xml:space="preserve"> </w:t>
      </w:r>
      <w:r>
        <w:t xml:space="preserve">summarise asymmetry in hit burden and effect magnitude, respectively;</w:t>
      </w:r>
      <w:r>
        <w:t xml:space="preserve"> </w:t>
      </w:r>
      <m:oMath>
        <m:sSub>
          <m:e>
            <m:r>
              <m:rPr>
                <m:sty m:val="p"/>
              </m:rPr>
              <m:t>S</m:t>
            </m:r>
            <m:r>
              <m:rPr>
                <m:sty m:val="p"/>
              </m:rPr>
              <m:t>C</m:t>
            </m:r>
            <m:r>
              <m:rPr>
                <m:sty m:val="p"/>
              </m:rPr>
              <m:t>R</m:t>
            </m:r>
          </m:e>
          <m:sub>
            <m:r>
              <m:t>A</m:t>
            </m:r>
            <m:r>
              <m:rPr>
                <m:sty m:val="p"/>
              </m:rPr>
              <m:t>,</m:t>
            </m:r>
            <m:r>
              <m:t>B</m:t>
            </m:r>
          </m:sub>
        </m:sSub>
      </m:oMath>
      <w:r>
        <w:t xml:space="preserve"> </w:t>
      </w:r>
      <w:r>
        <w:t xml:space="preserve">summarises directional agreement. The interpretive motivation is that in paired designs with a provocation contrast and a rest contrast, a cohort-wide amplification of stress response under provocation (not at rest) is expected to produce</w:t>
      </w:r>
      <w:r>
        <w:t xml:space="preserve"> </w:t>
      </w:r>
      <m:oMath>
        <m:r>
          <m:t>R</m:t>
        </m:r>
        <m:r>
          <m:rPr>
            <m:sty m:val="p"/>
          </m:rPr>
          <m:t>≫</m:t>
        </m:r>
        <m:r>
          <m:t>1</m:t>
        </m:r>
      </m:oMath>
      <w:r>
        <w:t xml:space="preserve"> </w:t>
      </w:r>
      <w:r>
        <w:t xml:space="preserve">together with a high</w:t>
      </w:r>
      <w:r>
        <w:t xml:space="preserve"> </w:t>
      </w:r>
      <m:oMath>
        <m:r>
          <m:rPr>
            <m:sty m:val="p"/>
          </m:rPr>
          <m:t>S</m:t>
        </m:r>
        <m:r>
          <m:rPr>
            <m:sty m:val="p"/>
          </m:rPr>
          <m:t>C</m:t>
        </m:r>
        <m:r>
          <m:rPr>
            <m:sty m:val="p"/>
          </m:rPr>
          <m:t>R</m:t>
        </m:r>
      </m:oMath>
      <w:r>
        <w:t xml:space="preserve">, whereas an acclimation-driven shift in baseline state should manifest with</w:t>
      </w:r>
      <w:r>
        <w:t xml:space="preserve"> </w:t>
      </w:r>
      <m:oMath>
        <m:r>
          <m:t>R</m:t>
        </m:r>
        <m:r>
          <m:rPr>
            <m:sty m:val="p"/>
          </m:rPr>
          <m:t>≈</m:t>
        </m:r>
        <m:r>
          <m:t>1</m:t>
        </m:r>
      </m:oMath>
      <w:r>
        <w:t xml:space="preserve"> </w:t>
      </w:r>
      <w:r>
        <w:t xml:space="preserve">or the reverse and a lower</w:t>
      </w:r>
      <w:r>
        <w:t xml:space="preserve"> </w:t>
      </w:r>
      <m:oMath>
        <m:r>
          <m:rPr>
            <m:sty m:val="p"/>
          </m:rPr>
          <m:t>S</m:t>
        </m:r>
        <m:r>
          <m:rPr>
            <m:sty m:val="p"/>
          </m:rPr>
          <m:t>C</m:t>
        </m:r>
        <m:r>
          <m:rPr>
            <m:sty m:val="p"/>
          </m:rPr>
          <m:t>R</m:t>
        </m:r>
      </m:oMath>
      <w:r>
        <w:t xml:space="preserve">. Reporting all four outputs together makes the balance diagnosable from a single table rather than requiring post-hoc scripting.</w:t>
      </w:r>
    </w:p>
    <w:bookmarkEnd w:id="34"/>
    <w:bookmarkStart w:id="35" w:name="latent-axis-construction"/>
    <w:p>
      <w:pPr>
        <w:pStyle w:val="Heading3"/>
      </w:pPr>
      <w:r>
        <w:t xml:space="preserve">Latent-axis construction</w:t>
      </w:r>
    </w:p>
    <w:p>
      <w:pPr>
        <w:pStyle w:val="FirstParagraph"/>
      </w:pPr>
      <w:r>
        <w:t xml:space="preserve">A feature matrix was constructed from burden variables plus module trajectory contrasts (2 burden + 16 module-contrast features across 10 subjects). Features were z-scored and decomposed by singular value decomposition (SVD); the first two components (PC1, PC2) were retained as an exploratory projection [9]. Regeneration of these components from the re-curated</w:t>
      </w:r>
      <w:r>
        <w:t xml:space="preserve"> </w:t>
      </w:r>
      <w:r>
        <w:rPr>
          <w:rStyle w:val="VerbatimChar"/>
        </w:rPr>
        <w:t xml:space="preserve">modules.tsv</w:t>
      </w:r>
      <w:r>
        <w:t xml:space="preserve"> </w:t>
      </w:r>
      <w:r>
        <w:t xml:space="preserve">is implemented in</w:t>
      </w:r>
      <w:r>
        <w:t xml:space="preserve"> </w:t>
      </w:r>
      <w:r>
        <w:rPr>
          <w:rStyle w:val="VerbatimChar"/>
        </w:rPr>
        <w:t xml:space="preserve">scripts/regenerate_latent_axes.py</w:t>
      </w:r>
      <w:r>
        <w:t xml:space="preserve"> </w:t>
      </w:r>
      <w:r>
        <w:t xml:space="preserve">and is deterministic to 1e-10 (SVD round-off).</w:t>
      </w:r>
    </w:p>
    <w:bookmarkEnd w:id="35"/>
    <w:bookmarkStart w:id="36" w:name="physiology-mapping"/>
    <w:p>
      <w:pPr>
        <w:pStyle w:val="Heading3"/>
      </w:pPr>
      <w:r>
        <w:t xml:space="preserve">Physiology mapping</w:t>
      </w:r>
    </w:p>
    <w:p>
      <w:pPr>
        <w:pStyle w:val="FirstParagraph"/>
      </w:pPr>
      <w:r>
        <w:t xml:space="preserve">Physiological endpoints were extracted from</w:t>
      </w:r>
      <w:r>
        <w:t xml:space="preserve"> </w:t>
      </w:r>
      <w:r>
        <w:rPr>
          <w:rStyle w:val="VerbatimChar"/>
        </w:rPr>
        <w:t xml:space="preserve">Physiological_data.xlsx</w:t>
      </w:r>
      <w:r>
        <w:t xml:space="preserve"> </w:t>
      </w:r>
      <w:r>
        <w:t xml:space="preserve">as day-1 heat deltas, day-7 heat deltas, and acclimation deltas. Pearson correlations were computed between each latent/burden metric (PC1, PC2, acute burden, adaptation burden) and each physiological endpoint using complete pairs (</w:t>
      </w:r>
      <m:oMath>
        <m:r>
          <m:t>n</m:t>
        </m:r>
        <m:r>
          <m:rPr>
            <m:sty m:val="p"/>
          </m:rPr>
          <m:t>≥</m:t>
        </m:r>
        <m:r>
          <m:t>3</m:t>
        </m:r>
      </m:oMath>
      <w:r>
        <w:t xml:space="preserve"> </w:t>
      </w:r>
      <w:r>
        <w:t xml:space="preserve">required to fit;</w:t>
      </w:r>
      <w:r>
        <w:t xml:space="preserve"> </w:t>
      </w:r>
      <m:oMath>
        <m:r>
          <m:t>n</m:t>
        </m:r>
        <m:r>
          <m:rPr>
            <m:sty m:val="p"/>
          </m:rPr>
          <m:t>≥</m:t>
        </m:r>
        <m:r>
          <m:t>5</m:t>
        </m:r>
      </m:oMath>
      <w:r>
        <w:t xml:space="preserve"> </w:t>
      </w:r>
      <w:r>
        <w:t xml:space="preserve">required for interpretation). BH correction was applied within each metric family of phenotype tests. The permutation null for between-subject burden dispersion (equation above) is reported separately; it tests whether the spread in per-subject burden exceeds a label-randomised null and is interpreted with the finite-permutation resolution floor</w:t>
      </w:r>
      <w:r>
        <w:t xml:space="preserve"> </w:t>
      </w:r>
      <m:oMath>
        <m:r>
          <m:t>1</m:t>
        </m:r>
        <m:r>
          <m:rPr>
            <m:sty m:val="p"/>
          </m:rPr>
          <m:t>/</m:t>
        </m:r>
        <m:r>
          <m:rPr>
            <m:sty m:val="p"/>
          </m:rPr>
          <m:t>(</m:t>
        </m:r>
        <m:r>
          <m:t>B</m:t>
        </m:r>
        <m:r>
          <m:rPr>
            <m:sty m:val="p"/>
          </m:rPr>
          <m:t>+</m:t>
        </m:r>
        <m:r>
          <m:t>1</m:t>
        </m:r>
        <m:r>
          <m:rPr>
            <m:sty m:val="p"/>
          </m:rPr>
          <m:t>)</m:t>
        </m:r>
      </m:oMath>
      <w:r>
        <w:t xml:space="preserve"> </w:t>
      </w:r>
      <w:r>
        <w:t xml:space="preserve">following Phipson-Smyth [13].</w:t>
      </w:r>
    </w:p>
    <w:bookmarkEnd w:id="36"/>
    <w:bookmarkStart w:id="37" w:name="figure-generation"/>
    <w:p>
      <w:pPr>
        <w:pStyle w:val="Heading3"/>
      </w:pPr>
      <w:r>
        <w:t xml:space="preserve">Figure generation</w:t>
      </w:r>
    </w:p>
    <w:p>
      <w:pPr>
        <w:pStyle w:val="FirstParagraph"/>
      </w:pPr>
      <w:r>
        <w:t xml:space="preserve">Figures were generated from the final robustness and heterogeneity tables and exported to</w:t>
      </w:r>
      <w:r>
        <w:t xml:space="preserve"> </w:t>
      </w:r>
      <w:r>
        <w:rPr>
          <w:rStyle w:val="VerbatimChar"/>
        </w:rPr>
        <w:t xml:space="preserve">docs/findings/heterogeneity/figure_pack</w:t>
      </w:r>
      <w:r>
        <w:t xml:space="preserve">. Panel captions are documented in</w:t>
      </w:r>
      <w:r>
        <w:t xml:space="preserve"> </w:t>
      </w:r>
      <w:r>
        <w:rPr>
          <w:rStyle w:val="VerbatimChar"/>
        </w:rPr>
        <w:t xml:space="preserve">Figure_Captions.md</w:t>
      </w:r>
      <w:r>
        <w:t xml:space="preserve">.</w:t>
      </w:r>
    </w:p>
    <w:bookmarkEnd w:id="37"/>
    <w:bookmarkEnd w:id="38"/>
    <w:bookmarkStart w:id="40" w:name="data-availability"/>
    <w:p>
      <w:pPr>
        <w:pStyle w:val="Heading2"/>
      </w:pPr>
      <w:r>
        <w:t xml:space="preserve">Data availability</w:t>
      </w:r>
    </w:p>
    <w:p>
      <w:pPr>
        <w:pStyle w:val="FirstParagraph"/>
      </w:pPr>
      <w:r>
        <w:t xml:space="preserve">Four public datasets are reanalysed. (1) Dube heat-stress/acclimation Olink Explore data [2] — CC BY 4.0 via Figshare project 163291, mirrored under</w:t>
      </w:r>
      <w:r>
        <w:t xml:space="preserve"> </w:t>
      </w:r>
      <w:r>
        <w:rPr>
          <w:rStyle w:val="VerbatimChar"/>
        </w:rPr>
        <w:t xml:space="preserve">example_data/dube_heat_2023/</w:t>
      </w:r>
      <w:r>
        <w:t xml:space="preserve">. (2) Gisby COVID dialysis Olink Target 96 data [17] — at</w:t>
      </w:r>
      <w:r>
        <w:t xml:space="preserve"> </w:t>
      </w:r>
      <w:hyperlink r:id="rId39">
        <w:r>
          <w:rPr>
            <w:rStyle w:val="Hyperlink"/>
          </w:rPr>
          <w:t xml:space="preserve">github.com/jackgisby/longitudinal_olink_proteomics</w:t>
        </w:r>
      </w:hyperlink>
      <w:r>
        <w:t xml:space="preserve">, mirrored under</w:t>
      </w:r>
      <w:r>
        <w:t xml:space="preserve"> </w:t>
      </w:r>
      <w:r>
        <w:rPr>
          <w:rStyle w:val="VerbatimChar"/>
        </w:rPr>
        <w:t xml:space="preserve">example_data/gisby_covid_2021/</w:t>
      </w:r>
      <w:r>
        <w:t xml:space="preserve">. (3) Wei Alzheimer plasma Olink Target 96 Inflammation data [18] — Figshare DOI 10.6084/m9.figshare.28829720, mirrored under</w:t>
      </w:r>
      <w:r>
        <w:t xml:space="preserve"> </w:t>
      </w:r>
      <w:r>
        <w:rPr>
          <w:rStyle w:val="VerbatimChar"/>
        </w:rPr>
        <w:t xml:space="preserve">example_data/alzheimer_olink_2024/</w:t>
      </w:r>
      <w:r>
        <w:t xml:space="preserve">. (4) Gisby COVID dialysis SomaLogic SomaScan v4.1 multi-omics data [19] — CC BY 4.0 via Zenodo DOI 10.5281/zenodo.6497251, mirrored under</w:t>
      </w:r>
      <w:r>
        <w:t xml:space="preserve"> </w:t>
      </w:r>
      <w:r>
        <w:rPr>
          <w:rStyle w:val="VerbatimChar"/>
        </w:rPr>
        <w:t xml:space="preserve">example_data/gisby_somascan_2022/</w:t>
      </w:r>
      <w:r>
        <w:t xml:space="preserve">. All processed analysis artefacts, benchmark per-tool DE tables, and every main-text figure panel are archived alongside the Atman v1.0.0 release at Zenodo (DOI pending, backfilled at submission).</w:t>
      </w:r>
    </w:p>
    <w:bookmarkEnd w:id="40"/>
    <w:bookmarkStart w:id="41" w:name="code-availability"/>
    <w:p>
      <w:pPr>
        <w:pStyle w:val="Heading2"/>
      </w:pPr>
      <w:r>
        <w:t xml:space="preserve">Code availability</w:t>
      </w:r>
    </w:p>
    <w:p>
      <w:pPr>
        <w:pStyle w:val="FirstParagraph"/>
      </w:pPr>
      <w:r>
        <w:t xml:space="preserve">Atman v1.0.0 is available at https://github.com/kevinjoseph/atman under a dual MIT OR Apache-2.0 license. The frozen release tag</w:t>
      </w:r>
      <w:r>
        <w:t xml:space="preserve"> </w:t>
      </w:r>
      <w:r>
        <w:rPr>
          <w:rStyle w:val="VerbatimChar"/>
        </w:rPr>
        <w:t xml:space="preserve">v1.0.0</w:t>
      </w:r>
      <w:r>
        <w:t xml:space="preserve"> </w:t>
      </w:r>
      <w:r>
        <w:t xml:space="preserve">is archived at Zenodo (DOI pending). The binary builds against stable Rust ≥ 1.75; a Dockerfile ships with the release for fully reproducible rebuilds. A test suite of 56 unit and integration tests — including workspace-level byte-level diffs against Dube’s published filtered NPX and numeric diffs against the log2 fold-change tables, and a canonical heat-shock protein directionality check — runs on every push via GitHub Actions.</w:t>
      </w:r>
      <w:r>
        <w:t xml:space="preserve"> </w:t>
      </w:r>
      <w:r>
        <w:rPr>
          <w:rStyle w:val="VerbatimChar"/>
        </w:rPr>
        <w:t xml:space="preserve">scripts/reproduce_paper.sh</w:t>
      </w:r>
      <w:r>
        <w:t xml:space="preserve"> </w:t>
      </w:r>
      <w:r>
        <w:t xml:space="preserve">regenerates every Dube main-text artefact from the raw inputs in one invocation;</w:t>
      </w:r>
      <w:r>
        <w:t xml:space="preserve"> </w:t>
      </w:r>
      <w:r>
        <w:rPr>
          <w:rStyle w:val="VerbatimChar"/>
        </w:rPr>
        <w:t xml:space="preserve">scripts/reproduce_gisby.sh</w:t>
      </w:r>
      <w:r>
        <w:t xml:space="preserve"> </w:t>
      </w:r>
      <w:r>
        <w:t xml:space="preserve">and</w:t>
      </w:r>
      <w:r>
        <w:t xml:space="preserve"> </w:t>
      </w:r>
      <w:r>
        <w:rPr>
          <w:rStyle w:val="VerbatimChar"/>
        </w:rPr>
        <w:t xml:space="preserve">scripts/reproduce_alzheimer.sh</w:t>
      </w:r>
      <w:r>
        <w:t xml:space="preserve"> </w:t>
      </w:r>
      <w:r>
        <w:t xml:space="preserve">do the equivalent for the paired and unpaired generalizability applications (adapters:</w:t>
      </w:r>
      <w:r>
        <w:t xml:space="preserve"> </w:t>
      </w:r>
      <w:r>
        <w:rPr>
          <w:rStyle w:val="VerbatimChar"/>
        </w:rPr>
        <w:t xml:space="preserve">scripts/ingest_gisby.py</w:t>
      </w:r>
      <w:r>
        <w:t xml:space="preserve">,</w:t>
      </w:r>
      <w:r>
        <w:t xml:space="preserve"> </w:t>
      </w:r>
      <w:r>
        <w:rPr>
          <w:rStyle w:val="VerbatimChar"/>
        </w:rPr>
        <w:t xml:space="preserve">scripts/ingest_alzheimer.py</w:t>
      </w:r>
      <w:r>
        <w:t xml:space="preserve">; each ~90–100 lines of Python). Benchmark drivers (</w:t>
      </w:r>
      <w:r>
        <w:rPr>
          <w:rStyle w:val="VerbatimChar"/>
        </w:rPr>
        <w:t xml:space="preserve">benchmarks/olinkanalyze/run.R</w:t>
      </w:r>
      <w:r>
        <w:t xml:space="preserve">,</w:t>
      </w:r>
      <w:r>
        <w:t xml:space="preserve"> </w:t>
      </w:r>
      <w:r>
        <w:rPr>
          <w:rStyle w:val="VerbatimChar"/>
        </w:rPr>
        <w:t xml:space="preserve">benchmarks/limma/run.R</w:t>
      </w:r>
      <w:r>
        <w:t xml:space="preserve">,</w:t>
      </w:r>
      <w:r>
        <w:t xml:space="preserve"> </w:t>
      </w:r>
      <w:r>
        <w:rPr>
          <w:rStyle w:val="VerbatimChar"/>
        </w:rPr>
        <w:t xml:space="preserve">benchmarks/atman/run.sh</w:t>
      </w:r>
      <w:r>
        <w:t xml:space="preserve">,</w:t>
      </w:r>
      <w:r>
        <w:t xml:space="preserve"> </w:t>
      </w:r>
      <w:r>
        <w:rPr>
          <w:rStyle w:val="VerbatimChar"/>
        </w:rPr>
        <w:t xml:space="preserve">benchmarks/aggregate.py</w:t>
      </w:r>
      <w:r>
        <w:t xml:space="preserve">) and the capability matrix (</w:t>
      </w:r>
      <w:r>
        <w:rPr>
          <w:rStyle w:val="VerbatimChar"/>
        </w:rPr>
        <w:t xml:space="preserve">benchmarks/capability_matrix.tsv</w:t>
      </w:r>
      <w:r>
        <w:t xml:space="preserve">) are shipped in the same repository.</w:t>
      </w:r>
    </w:p>
    <w:bookmarkEnd w:id="41"/>
    <w:bookmarkStart w:id="42" w:name="figure-availability"/>
    <w:p>
      <w:pPr>
        <w:pStyle w:val="Heading2"/>
      </w:pPr>
      <w:r>
        <w:t xml:space="preserve">Figure availability</w:t>
      </w:r>
    </w:p>
    <w:p>
      <w:pPr>
        <w:pStyle w:val="FirstParagraph"/>
      </w:pPr>
      <w:r>
        <w:t xml:space="preserve">All figure panels are rendered into</w:t>
      </w:r>
      <w:r>
        <w:t xml:space="preserve"> </w:t>
      </w:r>
      <w:r>
        <w:rPr>
          <w:rStyle w:val="VerbatimChar"/>
        </w:rPr>
        <w:t xml:space="preserve">docs/findings/figures/</w:t>
      </w:r>
      <w:r>
        <w:t xml:space="preserve"> </w:t>
      </w:r>
      <w:r>
        <w:t xml:space="preserve">in the repository at submission and are archived in the Zenodo record. The Fig 1 command DAG is also provided as a Graphviz DOT source for regeneration.</w:t>
      </w:r>
    </w:p>
    <w:bookmarkEnd w:id="42"/>
    <w:bookmarkStart w:id="49" w:name="figure-legends"/>
    <w:p>
      <w:pPr>
        <w:pStyle w:val="Heading2"/>
      </w:pPr>
      <w:r>
        <w:t xml:space="preserve">Figure legends</w:t>
      </w:r>
    </w:p>
    <w:bookmarkStart w:id="43" w:name="figure-1.-atman-command-dag."/>
    <w:p>
      <w:pPr>
        <w:pStyle w:val="Heading3"/>
      </w:pPr>
      <w:r>
        <w:t xml:space="preserve">Figure 1. Atman command DAG.</w:t>
      </w:r>
    </w:p>
    <w:p>
      <w:pPr>
        <w:pStyle w:val="FirstParagraph"/>
      </w:pPr>
      <w:r>
        <w:t xml:space="preserve">Single-panel schematic of the Atman command surface and data flow. Raw Olink NPX CSVs enter via</w:t>
      </w:r>
      <w:r>
        <w:t xml:space="preserve"> </w:t>
      </w:r>
      <w:r>
        <w:rPr>
          <w:rStyle w:val="VerbatimChar"/>
        </w:rPr>
        <w:t xml:space="preserve">ingest</w:t>
      </w:r>
      <w:r>
        <w:t xml:space="preserve">;</w:t>
      </w:r>
      <w:r>
        <w:t xml:space="preserve"> </w:t>
      </w:r>
      <w:r>
        <w:rPr>
          <w:rStyle w:val="VerbatimChar"/>
        </w:rPr>
        <w:t xml:space="preserve">qc</w:t>
      </w:r>
      <w:r>
        <w:t xml:space="preserve"> </w:t>
      </w:r>
      <w:r>
        <w:t xml:space="preserve">masks failing rows per the Dube rule;</w:t>
      </w:r>
      <w:r>
        <w:t xml:space="preserve"> </w:t>
      </w:r>
      <w:r>
        <w:rPr>
          <w:rStyle w:val="VerbatimChar"/>
        </w:rPr>
        <w:t xml:space="preserve">matrix</w:t>
      </w:r>
      <w:r>
        <w:t xml:space="preserve"> </w:t>
      </w:r>
      <w:r>
        <w:t xml:space="preserve">and</w:t>
      </w:r>
      <w:r>
        <w:t xml:space="preserve"> </w:t>
      </w:r>
      <w:r>
        <w:rPr>
          <w:rStyle w:val="VerbatimChar"/>
        </w:rPr>
        <w:t xml:space="preserve">fold-change</w:t>
      </w:r>
      <w:r>
        <w:t xml:space="preserve"> </w:t>
      </w:r>
      <w:r>
        <w:t xml:space="preserve">emit reproduction-base outputs;</w:t>
      </w:r>
      <w:r>
        <w:t xml:space="preserve"> </w:t>
      </w:r>
      <w:r>
        <w:rPr>
          <w:rStyle w:val="VerbatimChar"/>
        </w:rPr>
        <w:t xml:space="preserve">de</w:t>
      </w:r>
      <w:r>
        <w:t xml:space="preserve"> </w:t>
      </w:r>
      <w:r>
        <w:t xml:space="preserve">fits paired Student’s t, moderated empirical-Bayes, or Welch two-sample contrasts;</w:t>
      </w:r>
      <w:r>
        <w:t xml:space="preserve"> </w:t>
      </w:r>
      <w:r>
        <w:rPr>
          <w:rStyle w:val="VerbatimChar"/>
        </w:rPr>
        <w:t xml:space="preserve">asymmetry</w:t>
      </w:r>
      <w:r>
        <w:t xml:space="preserve">,</w:t>
      </w:r>
      <w:r>
        <w:t xml:space="preserve"> </w:t>
      </w:r>
      <w:r>
        <w:rPr>
          <w:rStyle w:val="VerbatimChar"/>
        </w:rPr>
        <w:t xml:space="preserve">robustness</w:t>
      </w:r>
      <w:r>
        <w:t xml:space="preserve">,</w:t>
      </w:r>
      <w:r>
        <w:t xml:space="preserve"> </w:t>
      </w:r>
      <w:r>
        <w:rPr>
          <w:rStyle w:val="VerbatimChar"/>
        </w:rPr>
        <w:t xml:space="preserve">module-trajectory</w:t>
      </w:r>
      <w:r>
        <w:t xml:space="preserve">, and</w:t>
      </w:r>
      <w:r>
        <w:t xml:space="preserve"> </w:t>
      </w:r>
      <w:r>
        <w:rPr>
          <w:rStyle w:val="VerbatimChar"/>
        </w:rPr>
        <w:t xml:space="preserve">module-de</w:t>
      </w:r>
      <w:r>
        <w:t xml:space="preserve"> </w:t>
      </w:r>
      <w:r>
        <w:t xml:space="preserve">consume DE outputs or deltas for heterogeneity, stability, and module-level analyses; Python drivers handle universe-corrected ORA, phenotype regression, and data-driven module learning. Solid arrows indicate Rust-engine stages; dashed arrows indicate Python drivers shelling to the sibling</w:t>
      </w:r>
      <w:r>
        <w:t xml:space="preserve"> </w:t>
      </w:r>
      <w:r>
        <w:rPr>
          <w:rStyle w:val="VerbatimChar"/>
        </w:rPr>
        <w:t xml:space="preserve">genesets</w:t>
      </w:r>
      <w:r>
        <w:t xml:space="preserve"> </w:t>
      </w:r>
      <w:r>
        <w:t xml:space="preserve">CLI.</w:t>
      </w:r>
    </w:p>
    <w:bookmarkEnd w:id="43"/>
    <w:bookmarkStart w:id="44" w:name="X56baa898f63323dc8c88cea0e8da2960d40ae60"/>
    <w:p>
      <w:pPr>
        <w:pStyle w:val="Heading3"/>
      </w:pPr>
      <w:r>
        <w:t xml:space="preserve">Figure 2. Benchmark against OlinkAnalyze and limma on the Dube contrasts.</w:t>
      </w:r>
    </w:p>
    <w:p>
      <w:pPr>
        <w:pStyle w:val="FirstParagraph"/>
      </w:pPr>
      <w:r>
        <w:rPr>
          <w:b/>
          <w:bCs/>
        </w:rPr>
        <w:t xml:space="preserve">(A) Per-tool DE yield.</w:t>
      </w:r>
      <w:r>
        <w:t xml:space="preserve"> </w:t>
      </w:r>
      <w:r>
        <w:t xml:space="preserve">Number of proteins at q&lt;0.05 under each tool (Atman, OlinkAnalyze, limma) for the four Dube contrasts (2,938 proteins tested per contrast,</w:t>
      </w:r>
      <w:r>
        <w:t xml:space="preserve"> </w:t>
      </w:r>
      <w:r>
        <w:rPr>
          <w:rStyle w:val="VerbatimChar"/>
        </w:rPr>
        <w:t xml:space="preserve">min_pairs=5</w:t>
      </w:r>
      <w:r>
        <w:t xml:space="preserve">). Atman uses paired Student’s t; OlinkAnalyze uses</w:t>
      </w:r>
      <w:r>
        <w:t xml:space="preserve"> </w:t>
      </w:r>
      <w:r>
        <w:rPr>
          <w:rStyle w:val="VerbatimChar"/>
        </w:rPr>
        <w:t xml:space="preserve">olink_ttest</w:t>
      </w:r>
      <w:r>
        <w:t xml:space="preserve"> </w:t>
      </w:r>
      <w:r>
        <w:t xml:space="preserve">with Satterthwaite df; limma uses</w:t>
      </w:r>
      <w:r>
        <w:t xml:space="preserve"> </w:t>
      </w:r>
      <w:r>
        <w:rPr>
          <w:rStyle w:val="VerbatimChar"/>
        </w:rPr>
        <w:t xml:space="preserve">lmFit + eBayes</w:t>
      </w:r>
      <w:r>
        <w:t xml:space="preserve"> </w:t>
      </w:r>
      <w:r>
        <w:t xml:space="preserve">on a paired design.</w:t>
      </w:r>
    </w:p>
    <w:p>
      <w:pPr>
        <w:pStyle w:val="BodyText"/>
      </w:pPr>
      <w:r>
        <w:rPr>
          <w:b/>
          <w:bCs/>
        </w:rPr>
        <w:t xml:space="preserve">(B) Atman contains ≥94% of comparator hits.</w:t>
      </w:r>
      <w:r>
        <w:t xml:space="preserve"> </w:t>
      </w:r>
      <w:r>
        <w:t xml:space="preserve">For the two acute contrasts, the horizontal grey bars are the total number of comparator hits at q&lt;0.10 and the overlaid blue bars are the subset also called by Atman at q&lt;0.10. Numerical annotations give</w:t>
      </w:r>
      <w:r>
        <w:t xml:space="preserve"> </w:t>
      </w:r>
      <w:r>
        <w:rPr>
          <w:rStyle w:val="VerbatimChar"/>
        </w:rPr>
        <w:t xml:space="preserve">shared / comparator-total (percent)</w:t>
      </w:r>
      <w:r>
        <w:t xml:space="preserve">.</w:t>
      </w:r>
    </w:p>
    <w:p>
      <w:pPr>
        <w:pStyle w:val="BodyText"/>
      </w:pPr>
      <w:r>
        <w:rPr>
          <w:b/>
          <w:bCs/>
        </w:rPr>
        <w:t xml:space="preserve">(C) Within-Atman concordance of paired-t and moderated modes.</w:t>
      </w:r>
      <w:r>
        <w:t xml:space="preserve"> </w:t>
      </w:r>
      <w:r>
        <w:t xml:space="preserve">Per-protein effect sizes (</w:t>
      </w:r>
      <w:r>
        <w:rPr>
          <w:rStyle w:val="VerbatimChar"/>
        </w:rPr>
        <w:t xml:space="preserve">mean_diff</w:t>
      </w:r>
      <w:r>
        <w:t xml:space="preserve">) under paired-t (x) and moderated empirical-Bayes shrinkage (y) for all 11,752 (protein × contrast) cells across the four Dube contrasts. Spearman ρ=1.00 in every contrast; the collapse onto the dashed identity line shows that mode choice changes hit counts at fixed q but not biological direction or effect magnitude.</w:t>
      </w:r>
    </w:p>
    <w:bookmarkEnd w:id="44"/>
    <w:bookmarkStart w:id="45" w:name="X704278d8dcd1494c812093493419e4765eda9cf"/>
    <w:p>
      <w:pPr>
        <w:pStyle w:val="Heading3"/>
      </w:pPr>
      <w:r>
        <w:t xml:space="preserve">Figure 3. Robustness geometry on Dube (n=10) and Gisby (n=23).</w:t>
      </w:r>
    </w:p>
    <w:p>
      <w:pPr>
        <w:pStyle w:val="FirstParagraph"/>
      </w:pPr>
      <w:r>
        <w:rPr>
          <w:b/>
          <w:bCs/>
        </w:rPr>
        <w:t xml:space="preserve">(A) Directional stability distributions.</w:t>
      </w:r>
      <w:r>
        <w:t xml:space="preserve"> </w:t>
      </w:r>
      <w:r>
        <w:t xml:space="preserve">Violin plot of per-protein LOO sign-match rate across all tested proteins in the four Dube contrasts and the Gisby late-early contrast. Gisby (blue, n=23) is tighter around 1.0 than the Dube contrasts (amber, n=10), consistent with directional stability scaling with sample size.</w:t>
      </w:r>
    </w:p>
    <w:p>
      <w:pPr>
        <w:pStyle w:val="BodyText"/>
      </w:pPr>
      <w:r>
        <w:rPr>
          <w:b/>
          <w:bCs/>
        </w:rPr>
        <w:t xml:space="preserve">(B) Strict-threshold hit retention.</w:t>
      </w:r>
      <w:r>
        <w:t xml:space="preserve"> </w:t>
      </w:r>
      <w:r>
        <w:t xml:space="preserve">Percentage of baseline q&lt;0.05 hits that retain q&lt;0.05 under all LOO reruns, under ≥80% of LOO reruns, and under ≥50% of LOO reruns. K annotations give the baseline hit count per contrast. Gisby retains 82% of hits in every LOO rerun versus 14–31% in the Dube contrasts — the quantitative expression of</w:t>
      </w:r>
      <w:r>
        <w:t xml:space="preserve"> </w:t>
      </w:r>
      <w:r>
        <w:t xml:space="preserve">“stability scales with n”</w:t>
      </w:r>
      <w:r>
        <w:t xml:space="preserve">.</w:t>
      </w:r>
    </w:p>
    <w:bookmarkEnd w:id="45"/>
    <w:bookmarkStart w:id="46" w:name="X69f65a1923bfbf4131a4b618fdf5e39eba01594"/>
    <w:p>
      <w:pPr>
        <w:pStyle w:val="Heading3"/>
      </w:pPr>
      <w:r>
        <w:t xml:space="preserve">Figure 4. Multiscale inference: data-driven modules and module-level DE.</w:t>
      </w:r>
    </w:p>
    <w:p>
      <w:pPr>
        <w:pStyle w:val="FirstParagraph"/>
      </w:pPr>
      <w:r>
        <w:rPr>
          <w:b/>
          <w:bCs/>
        </w:rPr>
        <w:t xml:space="preserve">(A) Per-protein vs module-level hit yield.</w:t>
      </w:r>
      <w:r>
        <w:t xml:space="preserve"> </w:t>
      </w:r>
      <w:r>
        <w:t xml:space="preserve">Fraction of tests at q&lt;0.05 for per-protein DE (grey) and module-level DE (blue) across the two acute Dube contrasts and the Gisby late-early contrast. K values annotated on bars are</w:t>
      </w:r>
      <w:r>
        <w:t xml:space="preserve"> </w:t>
      </w:r>
      <w:r>
        <w:rPr>
          <w:rStyle w:val="VerbatimChar"/>
        </w:rPr>
        <w:t xml:space="preserve">hits / tests</w:t>
      </w:r>
      <w:r>
        <w:t xml:space="preserve">. Module-level testing reduces the BH denominator from thousands of proteins to tens of modules (Dube 2,938 → 20; Gisby 436 → 15) and exceeds per-protein hit rate in every contrast where signal exists.</w:t>
      </w:r>
    </w:p>
    <w:p>
      <w:pPr>
        <w:pStyle w:val="BodyText"/>
      </w:pPr>
      <w:r>
        <w:rPr>
          <w:b/>
          <w:bCs/>
        </w:rPr>
        <w:t xml:space="preserve">(B) Gisby</w:t>
      </w:r>
      <w:r>
        <w:rPr>
          <w:b/>
          <w:bCs/>
        </w:rPr>
        <w:t xml:space="preserve"> </w:t>
      </w:r>
      <w:r>
        <w:rPr>
          <w:rStyle w:val="VerbatimChar"/>
          <w:b/>
          <w:bCs/>
        </w:rPr>
        <w:t xml:space="preserve">module_14</w:t>
      </w:r>
      <w:r>
        <w:rPr>
          <w:b/>
          <w:bCs/>
        </w:rPr>
        <w:t xml:space="preserve"> </w:t>
      </w:r>
      <w:r>
        <w:rPr>
          <w:b/>
          <w:bCs/>
        </w:rPr>
        <w:t xml:space="preserve">heatmap.</w:t>
      </w:r>
      <w:r>
        <w:t xml:space="preserve"> </w:t>
      </w:r>
      <w:r>
        <w:t xml:space="preserve">Per-patient (columns) late-early delta (log₂-NPX) for each of the 14 genes (rows) in</w:t>
      </w:r>
      <w:r>
        <w:t xml:space="preserve"> </w:t>
      </w:r>
      <w:r>
        <w:rPr>
          <w:rStyle w:val="VerbatimChar"/>
        </w:rPr>
        <w:t xml:space="preserve">module_14</w:t>
      </w:r>
      <w:r>
        <w:t xml:space="preserve">, the top Gisby module-level hit. Rows ordered by mean delta; columns ordered by mean over module_14 genes. The module emerges entirely data-driven from complete-linkage clustering of per-patient delta correlations — no gene lists or pathway databases are used — and contains the canonical type-II interferon / chemokine axis.</w:t>
      </w:r>
    </w:p>
    <w:p>
      <w:pPr>
        <w:pStyle w:val="BodyText"/>
      </w:pPr>
      <w:r>
        <w:rPr>
          <w:b/>
          <w:bCs/>
        </w:rPr>
        <w:t xml:space="preserve">(C) Gisby module-level volcano.</w:t>
      </w:r>
      <w:r>
        <w:t xml:space="preserve"> </w:t>
      </w:r>
      <w:r>
        <w:t xml:space="preserve">Module mean difference (late − early) vs</w:t>
      </w:r>
      <w:r>
        <w:t xml:space="preserve"> </w:t>
      </w:r>
      <m:oMath>
        <m:r>
          <m:rPr>
            <m:sty m:val="p"/>
          </m:rPr>
          <m:t>−</m:t>
        </m:r>
        <m:sSub>
          <m:e>
            <m:r>
              <m:rPr>
                <m:sty m:val="p"/>
              </m:rPr>
              <m:t>log</m:t>
            </m:r>
          </m:e>
          <m:sub>
            <m:r>
              <m:t>10</m:t>
            </m:r>
          </m:sub>
        </m:sSub>
        <m:r>
          <m:rPr>
            <m:sty m:val="p"/>
          </m:rPr>
          <m:t>(</m:t>
        </m:r>
        <m:r>
          <m:t>q</m:t>
        </m:r>
        <m:r>
          <m:rPr>
            <m:sty m:val="p"/>
          </m:rPr>
          <m:t>)</m:t>
        </m:r>
      </m:oMath>
      <w:r>
        <w:t xml:space="preserve"> </w:t>
      </w:r>
      <w:r>
        <w:t xml:space="preserve">for the 15 learned modules. Point size encodes</w:t>
      </w:r>
      <w:r>
        <w:t xml:space="preserve"> </w:t>
      </w:r>
      <m:oMath>
        <m:sSub>
          <m:e>
            <m:r>
              <m:rPr>
                <m:sty m:val="p"/>
              </m:rPr>
              <m:t>log</m:t>
            </m:r>
          </m:e>
          <m:sub>
            <m:r>
              <m:t>10</m:t>
            </m:r>
          </m:sub>
        </m:sSub>
      </m:oMath>
      <w:r>
        <w:t xml:space="preserve">(n_genes). Dashed line marks q=0.05; blue points are module hits. The top four hits by q are labelled;</w:t>
      </w:r>
      <w:r>
        <w:t xml:space="preserve"> </w:t>
      </w:r>
      <w:r>
        <w:rPr>
          <w:rStyle w:val="VerbatimChar"/>
        </w:rPr>
        <w:t xml:space="preserve">module_14</w:t>
      </w:r>
      <w:r>
        <w:t xml:space="preserve"> </w:t>
      </w:r>
      <w:r>
        <w:t xml:space="preserve">(14 genes) sits at q = 3.5 × 10⁻⁴.</w:t>
      </w:r>
    </w:p>
    <w:bookmarkEnd w:id="46"/>
    <w:bookmarkStart w:id="47" w:name="X1b82e7b54f20e1a3ee8728b2cfc211882cd785e"/>
    <w:p>
      <w:pPr>
        <w:pStyle w:val="Heading3"/>
      </w:pPr>
      <w:r>
        <w:t xml:space="preserve">Figure 5. Stability-aware ranking: ranking reproducibility under LOO and the</w:t>
      </w:r>
      <w:r>
        <w:t xml:space="preserve"> </w:t>
      </w:r>
      <m:oMath>
        <m:r>
          <m:t>S</m:t>
        </m:r>
      </m:oMath>
      <w:r>
        <w:t xml:space="preserve">-score reshuffle.</w:t>
      </w:r>
    </w:p>
    <w:p>
      <w:pPr>
        <w:pStyle w:val="FirstParagraph"/>
      </w:pPr>
      <w:r>
        <w:rPr>
          <w:b/>
          <w:bCs/>
        </w:rPr>
        <w:t xml:space="preserve">(A) Top-K Jaccard under LOO for three ranking criteria.</w:t>
      </w:r>
      <w:r>
        <w:t xml:space="preserve"> </w:t>
      </w:r>
      <w:r>
        <w:t xml:space="preserve">Mean top-K Jaccard ± sd across LOO reruns when the full-data top-K and each LOO-run top-K are chosen under ranking by</w:t>
      </w:r>
      <w:r>
        <w:t xml:space="preserve"> </w:t>
      </w:r>
      <m:oMath>
        <m:r>
          <m:t>q</m:t>
        </m:r>
      </m:oMath>
      <w:r>
        <w:t xml:space="preserve"> </w:t>
      </w:r>
      <w:r>
        <w:t xml:space="preserve">(grey), by</w:t>
      </w:r>
      <w:r>
        <w:t xml:space="preserve"> </w:t>
      </w:r>
      <m:oMath>
        <m:r>
          <m:rPr>
            <m:sty m:val="p"/>
          </m:rPr>
          <m:t>|</m:t>
        </m:r>
        <m:acc>
          <m:accPr>
            <m:chr m:val="‾"/>
          </m:accPr>
          <m:e>
            <m:r>
              <m:t>d</m:t>
            </m:r>
          </m:e>
        </m:acc>
        <m:r>
          <m:rPr>
            <m:sty m:val="p"/>
          </m:rPr>
          <m:t>|</m:t>
        </m:r>
      </m:oMath>
      <w:r>
        <w:t xml:space="preserve"> </w:t>
      </w:r>
      <w:r>
        <w:t xml:space="preserve">(light blue), or by</w:t>
      </w:r>
      <w:r>
        <w:t xml:space="preserve"> </w:t>
      </w:r>
      <m:oMath>
        <m:sSub>
          <m:e>
            <m:r>
              <m:t>S</m:t>
            </m:r>
          </m:e>
          <m:sub>
            <m:r>
              <m:t>i</m:t>
            </m:r>
          </m:sub>
        </m:sSub>
        <m:r>
          <m:rPr>
            <m:sty m:val="p"/>
          </m:rPr>
          <m:t>=</m:t>
        </m:r>
        <m:r>
          <m:rPr>
            <m:sty m:val="p"/>
          </m:rPr>
          <m:t>|</m:t>
        </m:r>
        <m:sSub>
          <m:e>
            <m:acc>
              <m:accPr>
                <m:chr m:val="‾"/>
              </m:accPr>
              <m:e>
                <m:r>
                  <m:t>d</m:t>
                </m:r>
              </m:e>
            </m:acc>
          </m:e>
          <m:sub>
            <m:r>
              <m:t>i</m:t>
            </m:r>
          </m:sub>
        </m:sSub>
        <m:r>
          <m:rPr>
            <m:sty m:val="p"/>
          </m:rPr>
          <m:t>|</m:t>
        </m:r>
        <m:r>
          <m:rPr>
            <m:sty m:val="p"/>
          </m:rPr>
          <m:t>⋅</m:t>
        </m:r>
        <m:sSub>
          <m:e>
            <m:r>
              <m:rPr>
                <m:sty m:val="p"/>
              </m:rPr>
              <m:t>S</m:t>
            </m:r>
            <m:r>
              <m:rPr>
                <m:sty m:val="p"/>
              </m:rPr>
              <m:t>S</m:t>
            </m:r>
            <m:r>
              <m:rPr>
                <m:sty m:val="p"/>
              </m:rPr>
              <m:t>R</m:t>
            </m:r>
          </m:e>
          <m:sub>
            <m:r>
              <m:t>i</m:t>
            </m:r>
          </m:sub>
        </m:sSub>
        <m:r>
          <m:rPr>
            <m:sty m:val="p"/>
          </m:rPr>
          <m:t>⋅</m:t>
        </m:r>
        <m:r>
          <m:rPr>
            <m:sty m:val="p"/>
          </m:rPr>
          <m:t>(</m:t>
        </m:r>
        <m:r>
          <m:t>1</m:t>
        </m:r>
        <m:r>
          <m:rPr>
            <m:sty m:val="p"/>
          </m:rPr>
          <m:t>−</m:t>
        </m:r>
        <m:sSub>
          <m:e>
            <m:r>
              <m:t>q</m:t>
            </m:r>
          </m:e>
          <m:sub>
            <m:r>
              <m:t>i</m:t>
            </m:r>
          </m:sub>
        </m:sSub>
        <m:r>
          <m:rPr>
            <m:sty m:val="p"/>
          </m:rPr>
          <m:t>)</m:t>
        </m:r>
      </m:oMath>
      <w:r>
        <w:t xml:space="preserve"> </w:t>
      </w:r>
      <w:r>
        <w:t xml:space="preserve">(dark blue). K = number of baseline q&lt;0.05 hits per contrast.</w:t>
      </w:r>
      <w:r>
        <w:t xml:space="preserve"> </w:t>
      </w:r>
      <m:oMath>
        <m:r>
          <m:t>S</m:t>
        </m:r>
      </m:oMath>
      <w:r>
        <w:t xml:space="preserve">-ranking reduces variance vs</w:t>
      </w:r>
      <w:r>
        <w:t xml:space="preserve"> </w:t>
      </w:r>
      <m:oMath>
        <m:r>
          <m:t>q</m:t>
        </m:r>
      </m:oMath>
      <w:r>
        <w:t xml:space="preserve">-ranking in 3 of 4 contrasts and matches or exceeds</w:t>
      </w:r>
      <w:r>
        <w:t xml:space="preserve"> </w:t>
      </w:r>
      <m:oMath>
        <m:r>
          <m:t>q</m:t>
        </m:r>
      </m:oMath>
      <w:r>
        <w:t xml:space="preserve">-ranking mean Jaccard in 3 of 4. The outlier is Dube PT2-PT1 at K=7 where any effect-size-driven selection is volatile.</w:t>
      </w:r>
    </w:p>
    <w:p>
      <w:pPr>
        <w:pStyle w:val="BodyText"/>
      </w:pPr>
      <w:r>
        <w:rPr>
          <w:b/>
          <w:bCs/>
        </w:rPr>
        <w:t xml:space="preserve">(B) Dube PT1-PR1 q-rank vs S-rank scatter.</w:t>
      </w:r>
      <w:r>
        <w:t xml:space="preserve"> </w:t>
      </w:r>
      <w:r>
        <w:t xml:space="preserve">Each dot is a protein ranked in the top-100 by either</w:t>
      </w:r>
      <w:r>
        <w:t xml:space="preserve"> </w:t>
      </w:r>
      <m:oMath>
        <m:r>
          <m:t>q</m:t>
        </m:r>
      </m:oMath>
      <w:r>
        <w:t xml:space="preserve"> </w:t>
      </w:r>
      <w:r>
        <w:t xml:space="preserve">or</w:t>
      </w:r>
      <w:r>
        <w:t xml:space="preserve"> </w:t>
      </w:r>
      <m:oMath>
        <m:r>
          <m:t>S</m:t>
        </m:r>
      </m:oMath>
      <w:r>
        <w:t xml:space="preserve">. Points above the dashed identity line are q-ranked hits demoted by</w:t>
      </w:r>
      <w:r>
        <w:t xml:space="preserve"> </w:t>
      </w:r>
      <m:oMath>
        <m:r>
          <m:t>S</m:t>
        </m:r>
      </m:oMath>
      <w:r>
        <w:t xml:space="preserve">; points below are high-</w:t>
      </w:r>
      <m:oMath>
        <m:r>
          <m:rPr>
            <m:sty m:val="p"/>
          </m:rPr>
          <m:t>|</m:t>
        </m:r>
        <m:acc>
          <m:accPr>
            <m:chr m:val="‾"/>
          </m:accPr>
          <m:e>
            <m:r>
              <m:t>d</m:t>
            </m:r>
          </m:e>
        </m:acc>
        <m:r>
          <m:rPr>
            <m:sty m:val="p"/>
          </m:rPr>
          <m:t>|</m:t>
        </m:r>
      </m:oMath>
      <w:r>
        <w:t xml:space="preserve"> </w:t>
      </w:r>
      <w:r>
        <w:t xml:space="preserve">proteins promoted by</w:t>
      </w:r>
      <w:r>
        <w:t xml:space="preserve"> </w:t>
      </w:r>
      <m:oMath>
        <m:r>
          <m:t>S</m:t>
        </m:r>
      </m:oMath>
      <w:r>
        <w:t xml:space="preserve">. Colour encodes</w:t>
      </w:r>
      <w:r>
        <w:t xml:space="preserve"> </w:t>
      </w:r>
      <m:oMath>
        <m:r>
          <m:rPr>
            <m:sty m:val="p"/>
          </m:rPr>
          <m:t>|</m:t>
        </m:r>
        <m:acc>
          <m:accPr>
            <m:chr m:val="‾"/>
          </m:accPr>
          <m:e>
            <m:r>
              <m:t>d</m:t>
            </m:r>
          </m:e>
        </m:acc>
        <m:r>
          <m:rPr>
            <m:sty m:val="p"/>
          </m:rPr>
          <m:t>|</m:t>
        </m:r>
      </m:oMath>
      <w:r>
        <w:t xml:space="preserve">: the concentration of yellow-green points below the diagonal shows that</w:t>
      </w:r>
      <w:r>
        <w:t xml:space="preserve"> </w:t>
      </w:r>
      <m:oMath>
        <m:r>
          <m:t>S</m:t>
        </m:r>
      </m:oMath>
      <w:r>
        <w:t xml:space="preserve"> </w:t>
      </w:r>
      <w:r>
        <w:t xml:space="preserve">promotes proteins with large effects and moderate</w:t>
      </w:r>
      <w:r>
        <w:t xml:space="preserve"> </w:t>
      </w:r>
      <m:oMath>
        <m:r>
          <m:t>q</m:t>
        </m:r>
      </m:oMath>
      <w:r>
        <w:t xml:space="preserve"> </w:t>
      </w:r>
      <w:r>
        <w:t xml:space="preserve">above proteins with tiny</w:t>
      </w:r>
      <w:r>
        <w:t xml:space="preserve"> </w:t>
      </w:r>
      <m:oMath>
        <m:r>
          <m:t>q</m:t>
        </m:r>
      </m:oMath>
      <w:r>
        <w:t xml:space="preserve"> </w:t>
      </w:r>
      <w:r>
        <w:t xml:space="preserve">and small effects, consistent with the reliability-weighted-effect-magnitude interpretation.</w:t>
      </w:r>
    </w:p>
    <w:bookmarkEnd w:id="47"/>
    <w:bookmarkStart w:id="48" w:name="Xc446c22001e10c5b8b2d6abe96e87cb715ab477"/>
    <w:p>
      <w:pPr>
        <w:pStyle w:val="Heading3"/>
      </w:pPr>
      <w:r>
        <w:t xml:space="preserve">Supplementary figures (Dube case-study biology)</w:t>
      </w:r>
    </w:p>
    <w:p>
      <w:pPr>
        <w:pStyle w:val="FirstParagraph"/>
      </w:pPr>
      <w:r>
        <w:rPr>
          <w:b/>
          <w:bCs/>
        </w:rPr>
        <w:t xml:space="preserve">Figure S1. Subject-level response architecture (Dube).</w:t>
      </w:r>
      <w:r>
        <w:t xml:space="preserve"> </w:t>
      </w:r>
      <w:r>
        <w:t xml:space="preserve">(A) Burden scatter. (B) Responder class composition. (C) Individual burden profiles. (D) Burden distribution by responder class. These panels describe subject heterogeneity in the Dube n=10 cohort; the median-split binning in B, D is a visualisation convenience on continuous burden variation, not a classifier.</w:t>
      </w:r>
    </w:p>
    <w:p>
      <w:pPr>
        <w:pStyle w:val="BodyText"/>
      </w:pPr>
      <w:r>
        <w:rPr>
          <w:b/>
          <w:bCs/>
        </w:rPr>
        <w:t xml:space="preserve">Figure S2. Recurrent and high-variance proteins (Dube).</w:t>
      </w:r>
      <w:r>
        <w:t xml:space="preserve"> </w:t>
      </w:r>
      <w:r>
        <w:t xml:space="preserve">(A) Heatmap of top-variance acute proteins. (B) Recurrent subject-fingerprint protein frequencies. (C) Distribution of top variable proteins across subjects. Candidate features for follow-up; at n=10 these are not individually strong after BH correction.</w:t>
      </w:r>
    </w:p>
    <w:p>
      <w:pPr>
        <w:pStyle w:val="BodyText"/>
      </w:pPr>
      <w:r>
        <w:rPr>
          <w:b/>
          <w:bCs/>
        </w:rPr>
        <w:t xml:space="preserve">Figure S3. Exploratory low-dimensional projection and physiology mapping (Dube).</w:t>
      </w:r>
      <w:r>
        <w:t xml:space="preserve"> </w:t>
      </w:r>
      <w:r>
        <w:t xml:space="preserve">(A) SVD projection (PC1, PC2) of subjects from z-scored burden + module-trajectory features. (B) Module trajectory heatmap. (C) PC1 feature loadings. (D) Pearson correlation heatmap between latent metrics and physiological delta endpoints. After BH correction within metric families, no metric-endpoint association reaches q&lt;0.10.</w:t>
      </w:r>
    </w:p>
    <w:bookmarkEnd w:id="48"/>
    <w:bookmarkEnd w:id="49"/>
    <w:bookmarkStart w:id="51" w:name="table-legends"/>
    <w:p>
      <w:pPr>
        <w:pStyle w:val="Heading2"/>
      </w:pPr>
      <w:r>
        <w:t xml:space="preserve">Table legends</w:t>
      </w:r>
    </w:p>
    <w:bookmarkStart w:id="50" w:name="Xa7ab4cb551522dfb854003c221f1daa523476ee"/>
    <w:p>
      <w:pPr>
        <w:pStyle w:val="Heading3"/>
      </w:pPr>
      <w:r>
        <w:t xml:space="preserve">Table 1. Head-to-head benchmark of Atman against OlinkAnalyze and limma on the Dube dataset.</w:t>
      </w:r>
    </w:p>
    <w:p>
      <w:pPr>
        <w:pStyle w:val="FirstParagraph"/>
      </w:pPr>
      <w:r>
        <w:t xml:space="preserve">Per-tool differential abundance hit counts at q&lt;0.05 and q&lt;0.10 for each of the four Dube contrasts (2,938 proteins tested per contrast,</w:t>
      </w:r>
      <w:r>
        <w:t xml:space="preserve"> </w:t>
      </w:r>
      <w:r>
        <w:rPr>
          <w:rStyle w:val="VerbatimChar"/>
        </w:rPr>
        <w:t xml:space="preserve">min_pairs=5</w:t>
      </w:r>
      <w:r>
        <w:t xml:space="preserve">), total wall-clock runtime across all four contrasts, and a capability matrix indicating which downstream heterogeneity and robustness outputs each tool can emit (paired-t, moderated-t, LMM, ORA with universe correction, asymmetry, LOO rank stability, threshold sensitivity, subject burden, fingerprint recurrence, latent archetypes, permutation null, module trajectory, deterministic single-binary distribution, byte-exact reproduction). Full per-tool DE tables and pairwise Jaccard overlap of hit sets are provided in supplementary materials.</w:t>
      </w:r>
    </w:p>
    <w:bookmarkEnd w:id="50"/>
    <w:bookmarkEnd w:id="51"/>
    <w:bookmarkStart w:id="52" w:name="references"/>
    <w:p>
      <w:pPr>
        <w:pStyle w:val="Heading2"/>
      </w:pPr>
      <w:r>
        <w:t xml:space="preserve">References</w:t>
      </w:r>
    </w:p>
    <w:p>
      <w:pPr>
        <w:pStyle w:val="Compact"/>
        <w:numPr>
          <w:ilvl w:val="0"/>
          <w:numId w:val="1004"/>
        </w:numPr>
      </w:pPr>
      <w:r>
        <w:t xml:space="preserve">Périard JD, Racinais S, Sawka MN. Adaptations and mechanisms of human heat acclimation: applications for competitive athletes and sports. Scand J Med Sci Sports. 2015;25 Suppl 1:20-38. doi:10.1111/sms.12408.</w:t>
      </w:r>
    </w:p>
    <w:p>
      <w:pPr>
        <w:pStyle w:val="Compact"/>
        <w:numPr>
          <w:ilvl w:val="0"/>
          <w:numId w:val="1004"/>
        </w:numPr>
      </w:pPr>
      <w:r>
        <w:t xml:space="preserve">Gagnon D, Barry H, Barhdadi A, Oussaid E, Mongrain I, Lemieux Perreault LP, et al. A dataset of proteomic changes during human heat stress and heat acclimation. Sci Data. 2023;10:877. doi:10.1038/s41597-023-02809-5.</w:t>
      </w:r>
    </w:p>
    <w:p>
      <w:pPr>
        <w:pStyle w:val="Compact"/>
        <w:numPr>
          <w:ilvl w:val="0"/>
          <w:numId w:val="1004"/>
        </w:numPr>
      </w:pPr>
      <w:r>
        <w:t xml:space="preserve">Benjamini Y, Hochberg Y. Controlling the false discovery rate: a practical and powerful approach to multiple testing. J R Stat Soc B. 1995;57(1):289-300.</w:t>
      </w:r>
    </w:p>
    <w:p>
      <w:pPr>
        <w:pStyle w:val="Compact"/>
        <w:numPr>
          <w:ilvl w:val="0"/>
          <w:numId w:val="1004"/>
        </w:numPr>
      </w:pPr>
      <w:r>
        <w:t xml:space="preserve">Shi L, Reid LH, Jones WD, Shippy R, Warrington JA, Baker SC, et al. The MicroArray Quality Control (MAQC) project shows inter- and intraplatform reproducibility of gene expression measurements. Nat Biotechnol. 2006;24(9):1151-61. doi:10.1038/nbt1239.</w:t>
      </w:r>
    </w:p>
    <w:p>
      <w:pPr>
        <w:pStyle w:val="Compact"/>
        <w:numPr>
          <w:ilvl w:val="0"/>
          <w:numId w:val="1004"/>
        </w:numPr>
      </w:pPr>
      <w:r>
        <w:t xml:space="preserve">Sawka MN, Leon LR, Montain SJ, Sonna LA. Integrated physiological mechanisms of exercise performance, adaptation, and maladaptation to heat stress. Compr Physiol. 2011;1(4):1883-928. doi:10.1002/cphy.c100082.</w:t>
      </w:r>
    </w:p>
    <w:p>
      <w:pPr>
        <w:pStyle w:val="Compact"/>
        <w:numPr>
          <w:ilvl w:val="0"/>
          <w:numId w:val="1004"/>
        </w:numPr>
      </w:pPr>
      <w:r>
        <w:t xml:space="preserve">Tyler CJ, Reeve T, Hodges GJ, Cheung SS. The effects of heat adaptation on physiology, perception and exercise performance in the heat: a meta-analysis. Sports Med. 2016;46(11):1699-724. doi:10.1007/s40279-016-0538-5.</w:t>
      </w:r>
    </w:p>
    <w:p>
      <w:pPr>
        <w:pStyle w:val="Compact"/>
        <w:numPr>
          <w:ilvl w:val="0"/>
          <w:numId w:val="1004"/>
        </w:numPr>
      </w:pPr>
      <w:r>
        <w:t xml:space="preserve">Assarsson E, Lundberg M, Holmquist G, Bjorkesten J, Bucht Thorsen S, Ekman D, et al. Homogenous 96-plex PEA immunoassay exhibiting high sensitivity, specificity, and excellent scalability. PLoS One. 2014;9(4):e95192. doi:10.1371/journal.pone.0095192.</w:t>
      </w:r>
    </w:p>
    <w:p>
      <w:pPr>
        <w:pStyle w:val="Compact"/>
        <w:numPr>
          <w:ilvl w:val="0"/>
          <w:numId w:val="1004"/>
        </w:numPr>
      </w:pPr>
      <w:r>
        <w:t xml:space="preserve">Bates D, Machler M, Bolker B, Walker S. Fitting linear mixed-effects models using lme4. J Stat Softw. 2015;67(1):1-48. doi:10.18637/jss.v067.i01.</w:t>
      </w:r>
    </w:p>
    <w:p>
      <w:pPr>
        <w:pStyle w:val="Compact"/>
        <w:numPr>
          <w:ilvl w:val="0"/>
          <w:numId w:val="1004"/>
        </w:numPr>
      </w:pPr>
      <w:r>
        <w:t xml:space="preserve">Jolliffe IT, Cadima J. Principal component analysis: a review and recent developments. Philos Trans A Math Phys Eng Sci. 2016;374(2065):20150202. doi:10.1098/rsta.2015.0202.</w:t>
      </w:r>
    </w:p>
    <w:p>
      <w:pPr>
        <w:pStyle w:val="Compact"/>
        <w:numPr>
          <w:ilvl w:val="0"/>
          <w:numId w:val="1004"/>
        </w:numPr>
      </w:pPr>
      <w:r>
        <w:t xml:space="preserve">Laird NM, Ware JH. Random-effects models for longitudinal data. Biometrics. 1982;38(4):963-74. doi:10.2307/2529876.</w:t>
      </w:r>
    </w:p>
    <w:p>
      <w:pPr>
        <w:pStyle w:val="Compact"/>
        <w:numPr>
          <w:ilvl w:val="0"/>
          <w:numId w:val="1004"/>
        </w:numPr>
      </w:pPr>
      <w:r>
        <w:t xml:space="preserve">Storey JD, Tibshirani R. Statistical significance for genomewide studies. Proc Natl Acad Sci U S A. 2003;100(16):9440-5. doi:10.1073/pnas.1530509100.</w:t>
      </w:r>
    </w:p>
    <w:p>
      <w:pPr>
        <w:pStyle w:val="Compact"/>
        <w:numPr>
          <w:ilvl w:val="0"/>
          <w:numId w:val="1004"/>
        </w:numPr>
      </w:pPr>
      <w:r>
        <w:t xml:space="preserve">Leek JT, Scharpf RB, Bravo HC, Simcha D, Langmead B, Johnson WE, et al. Tackling the widespread and critical impact of batch effects in high-throughput data. Nat Rev Genet. 2010;11(10):733-9. doi:10.1038/nrg2825.</w:t>
      </w:r>
    </w:p>
    <w:p>
      <w:pPr>
        <w:pStyle w:val="Compact"/>
        <w:numPr>
          <w:ilvl w:val="0"/>
          <w:numId w:val="1004"/>
        </w:numPr>
      </w:pPr>
      <w:r>
        <w:t xml:space="preserve">Phipson B, Smyth GK. Permutation p-values should never be zero: calculating exact p-values when permutations are randomly drawn. Stat Appl Genet Mol Biol. 2010;9(1):Article39. doi:10.2202/1544-6115.1585.</w:t>
      </w:r>
    </w:p>
    <w:p>
      <w:pPr>
        <w:pStyle w:val="Compact"/>
        <w:numPr>
          <w:ilvl w:val="0"/>
          <w:numId w:val="1004"/>
        </w:numPr>
      </w:pPr>
      <w:r>
        <w:t xml:space="preserve">Subramanian A, Tamayo P, Mootha VK, Mukherjee S, Ebert BL, Gillette MA, et al. Gene set enrichment analysis: a knowledge-based approach for interpreting genome-wide expression profiles. Proc Natl Acad Sci U S A. 2005;102(43):15545-50. doi:10.1073/pnas.0506580102.</w:t>
      </w:r>
    </w:p>
    <w:p>
      <w:pPr>
        <w:pStyle w:val="Compact"/>
        <w:numPr>
          <w:ilvl w:val="0"/>
          <w:numId w:val="1004"/>
        </w:numPr>
      </w:pPr>
      <w:r>
        <w:t xml:space="preserve">Ritchie ME, Phipson B, Wu D, Hu Y, Law CW, Shi W, Smyth GK. limma powers differential expression analyses for RNA-sequencing and microarray studies. Nucleic Acids Res. 2015;43(7):e47. doi:10.1093/nar/gkv007.</w:t>
      </w:r>
    </w:p>
    <w:p>
      <w:pPr>
        <w:pStyle w:val="Compact"/>
        <w:numPr>
          <w:ilvl w:val="0"/>
          <w:numId w:val="1004"/>
        </w:numPr>
      </w:pPr>
      <w:r>
        <w:t xml:space="preserve">Olink Proteomics AB. OlinkAnalyze: Facilitate Analysis of Proteomic Data from Olink. R package version 5.0.0; 2026. Available from: https://CRAN.R-project.org/package=OlinkAnalyze.</w:t>
      </w:r>
    </w:p>
    <w:p>
      <w:pPr>
        <w:pStyle w:val="Compact"/>
        <w:numPr>
          <w:ilvl w:val="0"/>
          <w:numId w:val="1004"/>
        </w:numPr>
      </w:pPr>
      <w:r>
        <w:t xml:space="preserve">Gisby J, Clarke CL, Medjeral-Thomas N, Malik TH, Papadaki A, Mortimer PM, et al. Longitudinal proteomic profiling of dialysis patients with COVID-19 reveals markers of severity and predictors of death. eLife. 2021;10:e64827. doi:10.7554/eLife.64827.</w:t>
      </w:r>
    </w:p>
    <w:p>
      <w:pPr>
        <w:pStyle w:val="Compact"/>
        <w:numPr>
          <w:ilvl w:val="0"/>
          <w:numId w:val="1004"/>
        </w:numPr>
      </w:pPr>
      <w:r>
        <w:t xml:space="preserve">Wei J, Chen G, Ni H. NPX values from Olink proteomic analysis of Alzheimer’s disease plasma samples. Figshare dataset. 2025. doi:10.6084/m9.figshare.28829720.v1.</w:t>
      </w:r>
    </w:p>
    <w:p>
      <w:pPr>
        <w:pStyle w:val="Compact"/>
        <w:numPr>
          <w:ilvl w:val="0"/>
          <w:numId w:val="1004"/>
        </w:numPr>
      </w:pPr>
      <w:r>
        <w:t xml:space="preserve">Gisby JS, Buang NB, Papadaki A, Clarke CL, Malik TH, Medjeral-Thomas N, et al. Multi-omics identify LRRC15 as a COVID-19 severity predictor and persistent pro-thrombotic signals in convalescence. Nat Commun. 2022;13:7775. Data (CC BY 4.0): Zenodo doi:10.5281/zenodo.6497251.</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github.com/jackgisby/longitudinal_olink_proteomics"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jackgisby/longitudinal_olink_proteom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2026-04-17T05:05:34Z</dcterms:created>
  <dcterms:modified xsi:type="dcterms:W3CDTF">2026-04-17T05:05:34Z</dcterms:modified>
</cp:coreProperties>
</file>

<file path=docProps/custom.xml><?xml version="1.0" encoding="utf-8"?>
<Properties xmlns="http://schemas.openxmlformats.org/officeDocument/2006/custom-properties" xmlns:vt="http://schemas.openxmlformats.org/officeDocument/2006/docPropsVTypes"/>
</file>