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Chemical Specifications</w:t>
      </w:r>
    </w:p>
    <w:p>
      <w:pPr>
        <w:jc w:val="both"/>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6"/>
          <w:szCs w:val="36"/>
          <w:lang w:val="en-US" w:eastAsia="zh-CN"/>
        </w:rPr>
        <w:t xml:space="preserve"> </w:t>
      </w:r>
      <w:r>
        <w:rPr>
          <w:rFonts w:hint="eastAsia" w:ascii="Microsoft YaHei" w:hAnsi="Microsoft YaHei" w:eastAsia="Microsoft YaHei" w:cs="Microsoft YaHei"/>
          <w:sz w:val="32"/>
          <w:szCs w:val="32"/>
          <w:lang w:val="en-US" w:eastAsia="zh-CN"/>
        </w:rPr>
        <w:t xml:space="preserve">PA6/66CF10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line="432" w:lineRule="atLeast"/>
        <w:ind w:left="0" w:right="0"/>
        <w:jc w:val="left"/>
        <w:rPr>
          <w:rFonts w:hint="default" w:ascii="Arial" w:hAnsi="Arial" w:cs="Arial"/>
          <w:sz w:val="24"/>
          <w:szCs w:val="24"/>
        </w:rPr>
      </w:pPr>
      <w:r>
        <w:rPr>
          <w:rFonts w:hint="default" w:ascii="Arial" w:hAnsi="Arial" w:cs="Arial"/>
          <w:sz w:val="24"/>
          <w:szCs w:val="24"/>
          <w:lang w:val="en-US"/>
        </w:rPr>
        <w:t>PA6/66CF10 is an FFF 3D printing consumable produced with a copolylactam modified material containing 10% carbon fiber. PA6/66CF10 has excellent dimensional stability and toughness, very good interlayer bonding, and can be used on FFF3D printers in non-heated chambers. It has very good tensile strength and impact strength, and can be used continuously for a long time at an ambient temperature of 120°C.</w:t>
      </w:r>
    </w:p>
    <w:p>
      <w:pPr>
        <w:keepNext w:val="0"/>
        <w:keepLines w:val="0"/>
        <w:widowControl/>
        <w:suppressLineNumbers w:val="0"/>
        <w:pBdr>
          <w:top w:val="none" w:color="auto" w:sz="0" w:space="0"/>
          <w:left w:val="none" w:color="auto" w:sz="0" w:space="0"/>
          <w:bottom w:val="none" w:color="auto" w:sz="0" w:space="0"/>
          <w:right w:val="none" w:color="auto" w:sz="0" w:space="0"/>
        </w:pBdr>
        <w:ind w:left="-132" w:right="0"/>
        <w:jc w:val="left"/>
        <w:rPr>
          <w:i/>
          <w:iCs/>
          <w:color w:val="202124"/>
          <w:sz w:val="14"/>
          <w:szCs w:val="14"/>
        </w:rPr>
      </w:pPr>
    </w:p>
    <w:p>
      <w:pPr>
        <w:keepNext w:val="0"/>
        <w:keepLines w:val="0"/>
        <w:widowControl/>
        <w:suppressLineNumbers w:val="0"/>
        <w:spacing w:line="240" w:lineRule="auto"/>
        <w:jc w:val="left"/>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Dimensional stability/high toughness/high impact/temperature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methods</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val="en-US" w:eastAsia="zh-CN"/>
              </w:rPr>
            </w:pPr>
            <w:r>
              <w:rPr>
                <w:rFonts w:hint="default" w:ascii="Arial" w:hAnsi="Arial" w:cs="Arial"/>
                <w:color w:val="000000"/>
                <w:sz w:val="24"/>
                <w:szCs w:val="24"/>
              </w:rPr>
              <w:t>1.</w:t>
            </w:r>
            <w:r>
              <w:rPr>
                <w:rFonts w:hint="eastAsia" w:ascii="Arial" w:hAnsi="Arial" w:cs="Arial"/>
                <w:color w:val="000000"/>
                <w:sz w:val="24"/>
                <w:szCs w:val="24"/>
                <w:lang w:val="en-US" w:eastAsia="zh-CN"/>
              </w:rPr>
              <w:t>15</w:t>
            </w:r>
            <w:r>
              <w:rPr>
                <w:rFonts w:hint="default" w:ascii="Arial" w:hAnsi="Arial" w:cs="Arial"/>
                <w:color w:val="000000"/>
                <w:sz w:val="24"/>
                <w:szCs w:val="24"/>
              </w:rPr>
              <w:t>~1.2</w:t>
            </w:r>
            <w:r>
              <w:rPr>
                <w:rFonts w:hint="eastAsia" w:ascii="Arial" w:hAnsi="Arial" w:cs="Arial"/>
                <w:color w:val="000000"/>
                <w:sz w:val="24"/>
                <w:szCs w:val="24"/>
                <w:lang w:val="en-US" w:eastAsia="zh-CN"/>
              </w:rPr>
              <w:t>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2~4</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83.5~88.5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20~21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1500~1600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140~145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r>
              <w:rPr>
                <w:rFonts w:hint="eastAsia" w:ascii="Arial" w:hAnsi="Arial" w:cs="Arial"/>
                <w:color w:val="000000"/>
                <w:kern w:val="0"/>
                <w:sz w:val="24"/>
                <w:szCs w:val="24"/>
                <w:lang w:val="en-US" w:eastAsia="zh-CN" w:bidi="ar"/>
              </w:rPr>
              <w:t>（X-Y）</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25~35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120</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bookmarkStart w:id="0" w:name="_GoBack"/>
      <w:bookmarkEnd w:id="0"/>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4</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2</w:t>
            </w:r>
            <w:r>
              <w:rPr>
                <w:rFonts w:hint="eastAsia" w:ascii="Arial" w:hAnsi="Arial" w:cs="Arial"/>
                <w:color w:val="000000"/>
                <w:kern w:val="0"/>
                <w:sz w:val="24"/>
                <w:szCs w:val="24"/>
                <w:lang w:val="en-US" w:eastAsia="zh-CN" w:bidi="ar"/>
              </w:rPr>
              <w:t>90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1.2</w:t>
            </w:r>
            <w:r>
              <w:rPr>
                <w:rFonts w:hint="default" w:ascii="Arial" w:hAnsi="Arial" w:cs="Arial" w:eastAsiaTheme="minorEastAsia"/>
                <w:color w:val="000000"/>
                <w:kern w:val="0"/>
                <w:sz w:val="24"/>
                <w:szCs w:val="24"/>
                <w:lang w:val="en-US" w:eastAsia="zh-CN"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profile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28</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30</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90</w:t>
            </w:r>
            <w:r>
              <w:rPr>
                <w:rFonts w:hint="default" w:ascii="Arial" w:hAnsi="Arial" w:cs="Arial"/>
                <w:b w:val="0"/>
                <w:bCs/>
                <w:color w:val="auto"/>
                <w:sz w:val="24"/>
                <w:szCs w:val="24"/>
              </w:rPr>
              <w:t>℃</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90</w:t>
            </w:r>
            <w:r>
              <w:rPr>
                <w:rFonts w:hint="default" w:ascii="Arial" w:hAnsi="Arial" w:cs="Arial"/>
                <w:color w:val="auto"/>
                <w:sz w:val="24"/>
                <w:szCs w:val="24"/>
              </w:rPr>
              <w:t>~</w:t>
            </w:r>
            <w:r>
              <w:rPr>
                <w:rFonts w:hint="eastAsia" w:ascii="Arial" w:hAnsi="Arial" w:cs="Arial"/>
                <w:color w:val="auto"/>
                <w:sz w:val="24"/>
                <w:szCs w:val="24"/>
                <w:lang w:val="en-US" w:eastAsia="zh-CN"/>
              </w:rPr>
              <w:t>120</w:t>
            </w:r>
            <w:r>
              <w:rPr>
                <w:rFonts w:hint="default" w:ascii="Arial" w:hAnsi="Arial" w:cs="Arial"/>
                <w:color w:val="auto"/>
                <w:sz w:val="24"/>
                <w:szCs w:val="24"/>
              </w:rPr>
              <w:t>℃</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10</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glass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50~100%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8</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65</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2~4mm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30~50mm/s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Self supporting</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filaments deteriorate due to moisture absorption, they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PA6/66CF10 as its own support material, remove the support structure after the model has cooled. Otherwise, the support structure may be glued to the model and difficult to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Since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6" name="Picture 6"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862553E"/>
    <w:rsid w:val="09045369"/>
    <w:rsid w:val="09250777"/>
    <w:rsid w:val="095C6C57"/>
    <w:rsid w:val="09752C31"/>
    <w:rsid w:val="0A682937"/>
    <w:rsid w:val="0B4F3A94"/>
    <w:rsid w:val="0EF71914"/>
    <w:rsid w:val="185D1307"/>
    <w:rsid w:val="1A125E8C"/>
    <w:rsid w:val="1CA50285"/>
    <w:rsid w:val="1E650066"/>
    <w:rsid w:val="1E90553C"/>
    <w:rsid w:val="1EC124EB"/>
    <w:rsid w:val="25CC0E01"/>
    <w:rsid w:val="286212ED"/>
    <w:rsid w:val="286F074B"/>
    <w:rsid w:val="2ADA635E"/>
    <w:rsid w:val="2C252AEB"/>
    <w:rsid w:val="2CFA2FB6"/>
    <w:rsid w:val="349F5420"/>
    <w:rsid w:val="358F3697"/>
    <w:rsid w:val="382B6958"/>
    <w:rsid w:val="3B3050D9"/>
    <w:rsid w:val="3D3C36BB"/>
    <w:rsid w:val="42430A7F"/>
    <w:rsid w:val="47C3243A"/>
    <w:rsid w:val="48F65B0F"/>
    <w:rsid w:val="4C116441"/>
    <w:rsid w:val="4C722354"/>
    <w:rsid w:val="50B877DA"/>
    <w:rsid w:val="51015999"/>
    <w:rsid w:val="528B282D"/>
    <w:rsid w:val="595B3B31"/>
    <w:rsid w:val="5A0574FF"/>
    <w:rsid w:val="5B100098"/>
    <w:rsid w:val="5BF31285"/>
    <w:rsid w:val="5CC5047C"/>
    <w:rsid w:val="60530A95"/>
    <w:rsid w:val="60890ACF"/>
    <w:rsid w:val="608F5D02"/>
    <w:rsid w:val="613F3B51"/>
    <w:rsid w:val="61D57D60"/>
    <w:rsid w:val="62501D3C"/>
    <w:rsid w:val="62871CE6"/>
    <w:rsid w:val="62BE09F6"/>
    <w:rsid w:val="62F55C44"/>
    <w:rsid w:val="631D60AE"/>
    <w:rsid w:val="6B7D74C9"/>
    <w:rsid w:val="6C8A2564"/>
    <w:rsid w:val="6D131DD3"/>
    <w:rsid w:val="6EF939F6"/>
    <w:rsid w:val="7A464B0F"/>
    <w:rsid w:val="7A4A0355"/>
    <w:rsid w:val="7A6E4069"/>
    <w:rsid w:val="7B9B7A9C"/>
    <w:rsid w:val="7C5A3236"/>
    <w:rsid w:val="7D123CD7"/>
    <w:rsid w:val="7D9A1CAF"/>
    <w:rsid w:val="7DC473DD"/>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