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Chemical Specifications</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ABS Pro </w:t>
      </w:r>
      <w:r>
        <w:rPr>
          <w:rFonts w:hint="default" w:ascii="Microsoft YaHei" w:hAnsi="Microsoft YaHei" w:eastAsia="Microsoft YaHei" w:cs="Microsoft YaHei"/>
          <w:sz w:val="32"/>
          <w:szCs w:val="32"/>
          <w:lang w:val="en-US" w:eastAsia="zh-CN"/>
        </w:rPr>
        <w:t>F</w:t>
      </w:r>
      <w:bookmarkStart w:id="0" w:name="_GoBack"/>
      <w:bookmarkEnd w:id="0"/>
      <w:r>
        <w:rPr>
          <w:rFonts w:hint="default" w:ascii="Microsoft YaHei" w:hAnsi="Microsoft YaHei" w:eastAsia="Microsoft YaHei" w:cs="Microsoft YaHei"/>
          <w:sz w:val="32"/>
          <w:szCs w:val="32"/>
          <w:lang w:val="en-US" w:eastAsia="zh-CN"/>
        </w:rPr>
        <w:t>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ABS Pro is an FFF 3D printing filaments produced with an optimized ABS modified material. ABS Pro has high toughness and high impact resistance, excellent dimensional stability than ordinary ABS filaments, no cracking, easy to print, and is generally suitable for different FFF3D printers.</w:t>
      </w: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Easy to print/high toughness/high impact resistance</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The 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rPr>
            </w:pPr>
            <w:r>
              <w:rPr>
                <w:rFonts w:hint="default" w:ascii="Arial" w:hAnsi="Arial" w:cs="Arial"/>
                <w:color w:val="000000"/>
                <w:kern w:val="0"/>
                <w:sz w:val="24"/>
                <w:szCs w:val="24"/>
                <w:lang w:val="en-US" w:eastAsia="zh-CN" w:bidi="ar"/>
              </w:rPr>
              <w:t>Physical properties</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rPr>
              <w:t>1.</w:t>
            </w:r>
            <w:r>
              <w:rPr>
                <w:rFonts w:hint="eastAsia" w:ascii="Arial" w:hAnsi="Arial" w:cs="Arial"/>
                <w:color w:val="000000"/>
                <w:sz w:val="24"/>
                <w:szCs w:val="24"/>
                <w:lang w:val="en-US" w:eastAsia="zh-CN"/>
              </w:rPr>
              <w:t>08</w:t>
            </w:r>
            <w:r>
              <w:rPr>
                <w:rFonts w:hint="default" w:ascii="Arial" w:hAnsi="Arial" w:cs="Arial"/>
                <w:color w:val="000000"/>
                <w:sz w:val="24"/>
                <w:szCs w:val="24"/>
              </w:rPr>
              <w:t>~1.</w:t>
            </w:r>
            <w:r>
              <w:rPr>
                <w:rFonts w:hint="eastAsia" w:ascii="Arial" w:hAnsi="Arial" w:cs="Arial"/>
                <w:color w:val="000000"/>
                <w:sz w:val="24"/>
                <w:szCs w:val="24"/>
                <w:lang w:val="en-US" w:eastAsia="zh-CN"/>
              </w:rPr>
              <w:t>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MFR(22</w:t>
            </w:r>
            <w:r>
              <w:rPr>
                <w:rFonts w:hint="default" w:ascii="Arial" w:hAnsi="Arial" w:cs="Arial"/>
                <w:color w:val="000000"/>
                <w:sz w:val="24"/>
                <w:szCs w:val="24"/>
              </w:rPr>
              <w:t>0℃</w:t>
            </w:r>
            <w:r>
              <w:rPr>
                <w:rFonts w:hint="eastAsia" w:ascii="Arial" w:hAnsi="Arial" w:cs="Arial"/>
                <w:color w:val="000000"/>
                <w:sz w:val="24"/>
                <w:szCs w:val="24"/>
                <w:lang w:val="en-US" w:eastAsia="zh-CN"/>
              </w:rPr>
              <w:t>/5</w:t>
            </w:r>
            <w:r>
              <w:rPr>
                <w:rFonts w:hint="default" w:ascii="Arial" w:hAnsi="Arial" w:cs="Arial"/>
                <w:color w:val="000000"/>
                <w:sz w:val="24"/>
                <w:szCs w:val="24"/>
              </w:rPr>
              <w:t>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2~5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33~37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9~15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1500~1650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65~67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12~13.5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85</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conditions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230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22</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24</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30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80</w:t>
            </w:r>
            <w:r>
              <w:rPr>
                <w:rFonts w:hint="default" w:ascii="Arial" w:hAnsi="Arial" w:cs="Arial"/>
                <w:color w:val="auto"/>
                <w:sz w:val="24"/>
                <w:szCs w:val="24"/>
              </w:rPr>
              <w:t>~</w:t>
            </w:r>
            <w:r>
              <w:rPr>
                <w:rFonts w:hint="eastAsia" w:ascii="Arial" w:hAnsi="Arial" w:cs="Arial"/>
                <w:color w:val="auto"/>
                <w:sz w:val="24"/>
                <w:szCs w:val="24"/>
                <w:lang w:val="en-US" w:eastAsia="zh-CN"/>
              </w:rPr>
              <w:t>110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100</w:t>
            </w:r>
            <w:r>
              <w:rPr>
                <w:rFonts w:hint="default" w:ascii="Arial" w:hAnsi="Arial" w:cs="Arial"/>
                <w:color w:val="auto"/>
                <w:sz w:val="24"/>
                <w:szCs w:val="24"/>
              </w:rPr>
              <w:t>℃</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glass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0~50%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sz w:val="24"/>
                <w:szCs w:val="24"/>
                <w:lang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(推荐50mm/s)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40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length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1~3mm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Self supporting,</w:t>
            </w:r>
            <w:r>
              <w:rPr>
                <w:rFonts w:hint="eastAsia" w:ascii="Arial" w:hAnsi="Arial" w:cs="Arial"/>
                <w:color w:val="auto"/>
                <w:sz w:val="24"/>
                <w:szCs w:val="24"/>
                <w:lang w:val="en-US" w:eastAsia="zh-CN"/>
              </w:rPr>
              <w:t>HIPS</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ABS Pro is a polymer material. Moisture and oxygen in the air and ultraviolet rays will accelerate the aging of the material. In order not to affect the final printing quality, the ABS Pro filaments after opening need to be used up as soon as possible.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ABS Pro material is easy to absorb moisture. If the filament is damp, it is recommended to dry the filament in a hot air oven at 80°C for at least 5 hours to ensure the success rate and quality of the printed model.</w:t>
      </w:r>
    </w:p>
    <w:p>
      <w:pPr>
        <w:numPr>
          <w:ilvl w:val="0"/>
          <w:numId w:val="0"/>
        </w:numPr>
        <w:spacing w:line="360" w:lineRule="auto"/>
        <w:ind w:firstLine="480" w:firstLineChars="200"/>
        <w:jc w:val="left"/>
        <w:rPr>
          <w:rFonts w:hint="default" w:ascii="Arial" w:hAnsi="Arial" w:cs="Arial" w:eastAsiaTheme="minorEastAsia"/>
          <w:sz w:val="24"/>
          <w:szCs w:val="28"/>
          <w:lang w:val="en-US" w:eastAsia="zh-CN"/>
        </w:rPr>
      </w:pPr>
    </w:p>
    <w:p>
      <w:pPr>
        <w:numPr>
          <w:ilvl w:val="0"/>
          <w:numId w:val="0"/>
        </w:num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Since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33"/>
          <w:szCs w:val="33"/>
        </w:rPr>
      </w:pPr>
      <w:r>
        <w:rPr>
          <w:rFonts w:hint="default" w:ascii="Arial" w:hAnsi="Arial" w:cs="Arial"/>
          <w:i w:val="0"/>
          <w:iCs w:val="0"/>
          <w:caps w:val="0"/>
          <w:color w:val="202124"/>
          <w:spacing w:val="0"/>
          <w:sz w:val="33"/>
          <w:szCs w:val="33"/>
          <w:shd w:val="clear" w:fill="F8F9FA"/>
          <w:lang w:val="en-US"/>
        </w:rPr>
        <w:t>Annex 1: Test spline size and printing orientation</w:t>
      </w:r>
    </w:p>
    <w:p>
      <w:pPr>
        <w:numPr>
          <w:ilvl w:val="0"/>
          <w:numId w:val="0"/>
        </w:numPr>
        <w:spacing w:line="360" w:lineRule="auto"/>
        <w:jc w:val="center"/>
        <w:rPr>
          <w:rFonts w:hint="default"/>
          <w:lang w:val="en-US" w:eastAsia="zh-CN"/>
        </w:rP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73413"/>
    <w:rsid w:val="02E055C7"/>
    <w:rsid w:val="049E34FC"/>
    <w:rsid w:val="06F86B11"/>
    <w:rsid w:val="07CD52EE"/>
    <w:rsid w:val="09045369"/>
    <w:rsid w:val="09250777"/>
    <w:rsid w:val="095C6C57"/>
    <w:rsid w:val="0A682937"/>
    <w:rsid w:val="0ED00E11"/>
    <w:rsid w:val="0EF71914"/>
    <w:rsid w:val="0FD3232F"/>
    <w:rsid w:val="105F3FAA"/>
    <w:rsid w:val="185D1307"/>
    <w:rsid w:val="18C13529"/>
    <w:rsid w:val="1983248B"/>
    <w:rsid w:val="199437A0"/>
    <w:rsid w:val="19CF7D04"/>
    <w:rsid w:val="1A07749C"/>
    <w:rsid w:val="1A125E8C"/>
    <w:rsid w:val="1C821221"/>
    <w:rsid w:val="1CA50285"/>
    <w:rsid w:val="1D6F55A4"/>
    <w:rsid w:val="1DAF01C2"/>
    <w:rsid w:val="1E650066"/>
    <w:rsid w:val="1E90553C"/>
    <w:rsid w:val="1EAA11AA"/>
    <w:rsid w:val="1EC124EB"/>
    <w:rsid w:val="22A22EAF"/>
    <w:rsid w:val="244A1105"/>
    <w:rsid w:val="25CC0E01"/>
    <w:rsid w:val="26AB6E9A"/>
    <w:rsid w:val="286F074B"/>
    <w:rsid w:val="2ADA635E"/>
    <w:rsid w:val="2C252AEB"/>
    <w:rsid w:val="2CFA2FB6"/>
    <w:rsid w:val="312C61BA"/>
    <w:rsid w:val="349F5420"/>
    <w:rsid w:val="358F3697"/>
    <w:rsid w:val="370E733E"/>
    <w:rsid w:val="382B6958"/>
    <w:rsid w:val="3A226A25"/>
    <w:rsid w:val="3B3050D9"/>
    <w:rsid w:val="3D3C36BB"/>
    <w:rsid w:val="3E645C6A"/>
    <w:rsid w:val="42054109"/>
    <w:rsid w:val="42430A7F"/>
    <w:rsid w:val="47C3243A"/>
    <w:rsid w:val="48F65B0F"/>
    <w:rsid w:val="49526913"/>
    <w:rsid w:val="4C116441"/>
    <w:rsid w:val="4C722354"/>
    <w:rsid w:val="50B877DA"/>
    <w:rsid w:val="51015999"/>
    <w:rsid w:val="51392B87"/>
    <w:rsid w:val="528B282D"/>
    <w:rsid w:val="537003AB"/>
    <w:rsid w:val="54B576DE"/>
    <w:rsid w:val="55B602E3"/>
    <w:rsid w:val="561D19DF"/>
    <w:rsid w:val="586619E4"/>
    <w:rsid w:val="595B3B31"/>
    <w:rsid w:val="5A0574FF"/>
    <w:rsid w:val="5B100098"/>
    <w:rsid w:val="5BF31285"/>
    <w:rsid w:val="5CC5047C"/>
    <w:rsid w:val="60890ACF"/>
    <w:rsid w:val="608F5D02"/>
    <w:rsid w:val="613F3B51"/>
    <w:rsid w:val="61D57D60"/>
    <w:rsid w:val="62501D3C"/>
    <w:rsid w:val="62871CE6"/>
    <w:rsid w:val="62BE09F6"/>
    <w:rsid w:val="6A5F7BE5"/>
    <w:rsid w:val="6AE355B6"/>
    <w:rsid w:val="6B7834E8"/>
    <w:rsid w:val="6B7D74C9"/>
    <w:rsid w:val="6C8A2564"/>
    <w:rsid w:val="6D131DD3"/>
    <w:rsid w:val="772A2D43"/>
    <w:rsid w:val="7A4A0355"/>
    <w:rsid w:val="7A6E4069"/>
    <w:rsid w:val="7B9B7A9C"/>
    <w:rsid w:val="7C5A3236"/>
    <w:rsid w:val="7D123CD7"/>
    <w:rsid w:val="7D1D3E21"/>
    <w:rsid w:val="7D746D75"/>
    <w:rsid w:val="7D9A1CAF"/>
    <w:rsid w:val="7DC473DD"/>
    <w:rsid w:val="7E21356B"/>
    <w:rsid w:val="7E7E6CD6"/>
    <w:rsid w:val="7ECE064A"/>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0</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