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1D3B" w14:textId="77777777" w:rsidR="00225A77" w:rsidRDefault="00000000">
      <w:r>
        <w:rPr>
          <w:noProof/>
        </w:rPr>
        <w:drawing>
          <wp:inline distT="0" distB="0" distL="0" distR="0" wp14:anchorId="6CD26971" wp14:editId="5F23FFDF">
            <wp:extent cx="2476500" cy="1009650"/>
            <wp:effectExtent l="0" t="0" r="0" b="0"/>
            <wp:docPr id="1" name="3HUE logo" descr="3HUE Executive Consulting logo" title="3H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009650"/>
                    </a:xfrm>
                    <a:prstGeom prst="rect">
                      <a:avLst/>
                    </a:prstGeom>
                  </pic:spPr>
                </pic:pic>
              </a:graphicData>
            </a:graphic>
          </wp:inline>
        </w:drawing>
      </w:r>
    </w:p>
    <w:p w14:paraId="7D4F16D4" w14:textId="77777777" w:rsidR="00225A77" w:rsidRPr="008D21C3" w:rsidRDefault="00000000">
      <w:pPr>
        <w:spacing w:before="280" w:after="60"/>
        <w:rPr>
          <w:color w:val="FFFFFF" w:themeColor="background1"/>
        </w:rPr>
      </w:pPr>
      <w:r w:rsidRPr="008D21C3">
        <w:rPr>
          <w:b/>
          <w:bCs/>
          <w:color w:val="FFFFFF" w:themeColor="background1"/>
          <w:sz w:val="44"/>
          <w:szCs w:val="44"/>
        </w:rPr>
        <w:t>SOC 2 Multi-Framework Meta-Audit Overview</w:t>
      </w:r>
    </w:p>
    <w:p w14:paraId="5E2BBE45" w14:textId="77777777" w:rsidR="00225A77" w:rsidRPr="008D21C3" w:rsidRDefault="00000000">
      <w:pPr>
        <w:spacing w:after="240"/>
        <w:rPr>
          <w:color w:val="C1E4F5" w:themeColor="accent1" w:themeTint="33"/>
        </w:rPr>
      </w:pPr>
      <w:r w:rsidRPr="008D21C3">
        <w:rPr>
          <w:color w:val="C1E4F5" w:themeColor="accent1" w:themeTint="33"/>
          <w:sz w:val="24"/>
          <w:szCs w:val="24"/>
        </w:rPr>
        <w:t>How 3HUE's USR Framework Maps One Program to Many Audits, Simultaneously</w:t>
      </w:r>
    </w:p>
    <w:p w14:paraId="4F2F55A0" w14:textId="77777777" w:rsidR="00225A77" w:rsidRDefault="00225A77" w:rsidP="008E224C">
      <w:pPr>
        <w:pBdr>
          <w:bottom w:val="single" w:sz="6" w:space="0" w:color="C9D6E3"/>
        </w:pBdr>
        <w:spacing w:before="120" w:after="240"/>
      </w:pPr>
    </w:p>
    <w:p w14:paraId="65F4BEED" w14:textId="77777777" w:rsidR="00225A77" w:rsidRDefault="00000000">
      <w:pPr>
        <w:pStyle w:val="Heading1"/>
      </w:pPr>
      <w:r>
        <w:t>What is a meta-audit?</w:t>
      </w:r>
    </w:p>
    <w:p w14:paraId="794D8833" w14:textId="77777777" w:rsidR="00225A77" w:rsidRDefault="00000000">
      <w:pPr>
        <w:spacing w:after="160"/>
      </w:pPr>
      <w:r>
        <w:rPr>
          <w:sz w:val="21"/>
          <w:szCs w:val="21"/>
        </w:rPr>
        <w:t>3HUE’s USR (Unified Security &amp; Risk Framework) maps every control your organization is responsible for once, to a single governed baseline: UCB (Unified Control Baseline), the platform methodology 3HUE architected as AiVRIC’s GRC Build partner. Because every obligation is mapped to that one baseline, a single program of continuous evidence collection and control testing produces audit-ready evidence that satisfies many frameworks at the same time — instead of running a separate, siloed audit program for each certification, mandate, or regulation your organization carries.</w:t>
      </w:r>
    </w:p>
    <w:p w14:paraId="2E6F0144" w14:textId="77777777" w:rsidR="00225A77" w:rsidRDefault="00000000">
      <w:pPr>
        <w:spacing w:after="160"/>
      </w:pPr>
      <w:r>
        <w:rPr>
          <w:sz w:val="21"/>
          <w:szCs w:val="21"/>
        </w:rPr>
        <w:t>We call this a meta-audit: any combination of Trust Services Criteria, and any combination of frameworks mapped into USR/UCB, evaluated together, continuously, from one evidence set.</w:t>
      </w:r>
    </w:p>
    <w:p w14:paraId="7390678A" w14:textId="77777777" w:rsidR="00225A77" w:rsidRDefault="00000000">
      <w:pPr>
        <w:pStyle w:val="Heading1"/>
      </w:pPr>
      <w:r>
        <w:t>Flagship example: SOC 2 + HITRUST as a combined audit</w:t>
      </w:r>
    </w:p>
    <w:p w14:paraId="05E1112C" w14:textId="77777777" w:rsidR="00225A77" w:rsidRDefault="00000000">
      <w:pPr>
        <w:spacing w:after="160"/>
      </w:pPr>
      <w:r>
        <w:rPr>
          <w:sz w:val="21"/>
          <w:szCs w:val="21"/>
        </w:rPr>
        <w:t>Many organizations — particularly in healthcare, health tech, and their vendor ecosystems — need both a SOC 2 report and a HITRUST assessment to satisfy customers, partners, and regulators. Run separately, these are two audit programs, two evidence requests, and two audit windows.</w:t>
      </w:r>
    </w:p>
    <w:p w14:paraId="265C782A" w14:textId="77777777" w:rsidR="00225A77" w:rsidRDefault="00000000">
      <w:pPr>
        <w:spacing w:after="160"/>
      </w:pPr>
      <w:r>
        <w:rPr>
          <w:sz w:val="21"/>
          <w:szCs w:val="21"/>
        </w:rPr>
        <w:t>Because SOC 2’s Trust Services Criteria and HITRUST’s control requirements both map into the same USR/UCB baseline, 3HUE runs them as a combined audit: one control testing cycle, one evidence set, produced once and mapped to both reports. This is the model example for how USR/UCB extends to any other combination of frameworks your organization carries.</w:t>
      </w:r>
    </w:p>
    <w:p w14:paraId="1F9C9E7A" w14:textId="77777777" w:rsidR="005B711C" w:rsidRDefault="005B711C">
      <w:pPr>
        <w:rPr>
          <w:b/>
          <w:bCs/>
          <w:color w:val="0F172A"/>
          <w:sz w:val="28"/>
          <w:szCs w:val="28"/>
        </w:rPr>
      </w:pPr>
      <w:r>
        <w:br w:type="page"/>
      </w:r>
    </w:p>
    <w:p w14:paraId="2E4E97F6" w14:textId="37825FA9" w:rsidR="00225A77" w:rsidRDefault="00000000">
      <w:pPr>
        <w:pStyle w:val="Heading1"/>
      </w:pPr>
      <w:r>
        <w:lastRenderedPageBreak/>
        <w:t>Popular certifications, mandates, and frameworks covered</w:t>
      </w:r>
    </w:p>
    <w:p w14:paraId="18288519" w14:textId="77777777" w:rsidR="00225A77" w:rsidRDefault="00000000">
      <w:pPr>
        <w:spacing w:after="160"/>
      </w:pPr>
      <w:r>
        <w:rPr>
          <w:sz w:val="21"/>
          <w:szCs w:val="21"/>
        </w:rPr>
        <w:t>A representative view of the frameworks 3HUE’s USR/UCB control mapping supports today, grouped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25A77" w14:paraId="3DB5AB27" w14:textId="77777777">
        <w:tc>
          <w:tcPr>
            <w:tcW w:w="2400" w:type="dxa"/>
            <w:tcBorders>
              <w:top w:val="single" w:sz="2" w:space="0" w:color="C9D6E3"/>
              <w:left w:val="single" w:sz="2" w:space="0" w:color="C9D6E3"/>
              <w:bottom w:val="single" w:sz="2" w:space="0" w:color="C9D6E3"/>
              <w:right w:val="single" w:sz="2" w:space="0" w:color="C9D6E3"/>
            </w:tcBorders>
            <w:shd w:val="clear" w:color="auto" w:fill="1F6FB2"/>
            <w:tcMar>
              <w:top w:w="100" w:type="dxa"/>
              <w:left w:w="140" w:type="dxa"/>
              <w:bottom w:w="100" w:type="dxa"/>
              <w:right w:w="140" w:type="dxa"/>
            </w:tcMar>
            <w:vAlign w:val="center"/>
          </w:tcPr>
          <w:p w14:paraId="6586C38E" w14:textId="77777777" w:rsidR="00225A77" w:rsidRDefault="00000000">
            <w:r>
              <w:rPr>
                <w:b/>
                <w:bCs/>
                <w:color w:val="FFFFFF"/>
                <w:sz w:val="20"/>
                <w:szCs w:val="20"/>
              </w:rPr>
              <w:t>Category</w:t>
            </w:r>
          </w:p>
        </w:tc>
        <w:tc>
          <w:tcPr>
            <w:tcW w:w="6960" w:type="dxa"/>
            <w:tcBorders>
              <w:top w:val="single" w:sz="2" w:space="0" w:color="C9D6E3"/>
              <w:left w:val="single" w:sz="2" w:space="0" w:color="C9D6E3"/>
              <w:bottom w:val="single" w:sz="2" w:space="0" w:color="C9D6E3"/>
              <w:right w:val="single" w:sz="2" w:space="0" w:color="C9D6E3"/>
            </w:tcBorders>
            <w:shd w:val="clear" w:color="auto" w:fill="1F6FB2"/>
            <w:tcMar>
              <w:top w:w="100" w:type="dxa"/>
              <w:left w:w="140" w:type="dxa"/>
              <w:bottom w:w="100" w:type="dxa"/>
              <w:right w:w="140" w:type="dxa"/>
            </w:tcMar>
            <w:vAlign w:val="center"/>
          </w:tcPr>
          <w:p w14:paraId="7E09169E" w14:textId="77777777" w:rsidR="00225A77" w:rsidRDefault="00000000">
            <w:r>
              <w:rPr>
                <w:b/>
                <w:bCs/>
                <w:color w:val="FFFFFF"/>
                <w:sz w:val="20"/>
                <w:szCs w:val="20"/>
              </w:rPr>
              <w:t>Frameworks</w:t>
            </w:r>
          </w:p>
        </w:tc>
      </w:tr>
      <w:tr w:rsidR="00225A77" w14:paraId="7B346E47" w14:textId="77777777">
        <w:tc>
          <w:tcPr>
            <w:tcW w:w="2400" w:type="dxa"/>
            <w:tcBorders>
              <w:top w:val="single" w:sz="2" w:space="0" w:color="C9D6E3"/>
              <w:left w:val="single" w:sz="2" w:space="0" w:color="C9D6E3"/>
              <w:bottom w:val="single" w:sz="2" w:space="0" w:color="C9D6E3"/>
              <w:right w:val="single" w:sz="2" w:space="0" w:color="C9D6E3"/>
            </w:tcBorders>
            <w:shd w:val="clear" w:color="auto" w:fill="EEF4FA"/>
            <w:tcMar>
              <w:top w:w="100" w:type="dxa"/>
              <w:left w:w="140" w:type="dxa"/>
              <w:bottom w:w="100" w:type="dxa"/>
              <w:right w:w="140" w:type="dxa"/>
            </w:tcMar>
            <w:vAlign w:val="center"/>
          </w:tcPr>
          <w:p w14:paraId="7D73C577" w14:textId="77777777" w:rsidR="00225A77" w:rsidRDefault="00000000">
            <w:r>
              <w:rPr>
                <w:color w:val="0F172A"/>
                <w:sz w:val="20"/>
                <w:szCs w:val="20"/>
              </w:rPr>
              <w:t>Security &amp; Risk</w:t>
            </w:r>
          </w:p>
        </w:tc>
        <w:tc>
          <w:tcPr>
            <w:tcW w:w="6960" w:type="dxa"/>
            <w:tcBorders>
              <w:top w:val="single" w:sz="2" w:space="0" w:color="C9D6E3"/>
              <w:left w:val="single" w:sz="2" w:space="0" w:color="C9D6E3"/>
              <w:bottom w:val="single" w:sz="2" w:space="0" w:color="C9D6E3"/>
              <w:right w:val="single" w:sz="2" w:space="0" w:color="C9D6E3"/>
            </w:tcBorders>
            <w:shd w:val="clear" w:color="auto" w:fill="EEF4FA"/>
            <w:tcMar>
              <w:top w:w="100" w:type="dxa"/>
              <w:left w:w="140" w:type="dxa"/>
              <w:bottom w:w="100" w:type="dxa"/>
              <w:right w:w="140" w:type="dxa"/>
            </w:tcMar>
            <w:vAlign w:val="center"/>
          </w:tcPr>
          <w:p w14:paraId="5D6B5F50" w14:textId="77777777" w:rsidR="00225A77" w:rsidRDefault="00000000">
            <w:r>
              <w:rPr>
                <w:color w:val="0F172A"/>
                <w:sz w:val="20"/>
                <w:szCs w:val="20"/>
              </w:rPr>
              <w:t>ISO/IEC 27001 • NIST Cybersecurity Framework (CSF) 2.0 • CIS Critical Security Controls v8.1 • COBIT 2019</w:t>
            </w:r>
          </w:p>
        </w:tc>
      </w:tr>
      <w:tr w:rsidR="00225A77" w14:paraId="12EF6C02" w14:textId="77777777">
        <w:tc>
          <w:tcPr>
            <w:tcW w:w="2400" w:type="dxa"/>
            <w:tcBorders>
              <w:top w:val="single" w:sz="2" w:space="0" w:color="C9D6E3"/>
              <w:left w:val="single" w:sz="2" w:space="0" w:color="C9D6E3"/>
              <w:bottom w:val="single" w:sz="2" w:space="0" w:color="C9D6E3"/>
              <w:right w:val="single" w:sz="2" w:space="0" w:color="C9D6E3"/>
            </w:tcBorders>
            <w:shd w:val="clear" w:color="auto" w:fill="EEF4FA"/>
            <w:tcMar>
              <w:top w:w="100" w:type="dxa"/>
              <w:left w:w="140" w:type="dxa"/>
              <w:bottom w:w="100" w:type="dxa"/>
              <w:right w:w="140" w:type="dxa"/>
            </w:tcMar>
            <w:vAlign w:val="center"/>
          </w:tcPr>
          <w:p w14:paraId="2577A16A" w14:textId="77777777" w:rsidR="00225A77" w:rsidRDefault="00000000">
            <w:r>
              <w:rPr>
                <w:color w:val="0F172A"/>
                <w:sz w:val="20"/>
                <w:szCs w:val="20"/>
              </w:rPr>
              <w:t>Compliance &amp; Assurance</w:t>
            </w:r>
          </w:p>
        </w:tc>
        <w:tc>
          <w:tcPr>
            <w:tcW w:w="6960" w:type="dxa"/>
            <w:tcBorders>
              <w:top w:val="single" w:sz="2" w:space="0" w:color="C9D6E3"/>
              <w:left w:val="single" w:sz="2" w:space="0" w:color="C9D6E3"/>
              <w:bottom w:val="single" w:sz="2" w:space="0" w:color="C9D6E3"/>
              <w:right w:val="single" w:sz="2" w:space="0" w:color="C9D6E3"/>
            </w:tcBorders>
            <w:shd w:val="clear" w:color="auto" w:fill="EEF4FA"/>
            <w:tcMar>
              <w:top w:w="100" w:type="dxa"/>
              <w:left w:w="140" w:type="dxa"/>
              <w:bottom w:w="100" w:type="dxa"/>
              <w:right w:w="140" w:type="dxa"/>
            </w:tcMar>
            <w:vAlign w:val="center"/>
          </w:tcPr>
          <w:p w14:paraId="797830A7" w14:textId="77777777" w:rsidR="00225A77" w:rsidRDefault="00000000">
            <w:r>
              <w:rPr>
                <w:color w:val="0F172A"/>
                <w:sz w:val="20"/>
                <w:szCs w:val="20"/>
              </w:rPr>
              <w:t>SOC 2 (Trust Services Criteria) • HITRUST • PCI DSS v4.0.1 • CMMC 2.0 • FedRAMP</w:t>
            </w:r>
          </w:p>
        </w:tc>
      </w:tr>
      <w:tr w:rsidR="00225A77" w14:paraId="35D92C56" w14:textId="77777777">
        <w:tc>
          <w:tcPr>
            <w:tcW w:w="2400" w:type="dxa"/>
            <w:tcBorders>
              <w:top w:val="single" w:sz="2" w:space="0" w:color="C9D6E3"/>
              <w:left w:val="single" w:sz="2" w:space="0" w:color="C9D6E3"/>
              <w:bottom w:val="single" w:sz="2" w:space="0" w:color="C9D6E3"/>
              <w:right w:val="single" w:sz="2" w:space="0" w:color="C9D6E3"/>
            </w:tcBorders>
            <w:shd w:val="clear" w:color="auto" w:fill="EEF4FA"/>
            <w:tcMar>
              <w:top w:w="100" w:type="dxa"/>
              <w:left w:w="140" w:type="dxa"/>
              <w:bottom w:w="100" w:type="dxa"/>
              <w:right w:w="140" w:type="dxa"/>
            </w:tcMar>
            <w:vAlign w:val="center"/>
          </w:tcPr>
          <w:p w14:paraId="060F4D97" w14:textId="77777777" w:rsidR="00225A77" w:rsidRDefault="00000000">
            <w:r>
              <w:rPr>
                <w:color w:val="0F172A"/>
                <w:sz w:val="20"/>
                <w:szCs w:val="20"/>
              </w:rPr>
              <w:t>Privacy &amp; Data Protection</w:t>
            </w:r>
          </w:p>
        </w:tc>
        <w:tc>
          <w:tcPr>
            <w:tcW w:w="6960" w:type="dxa"/>
            <w:tcBorders>
              <w:top w:val="single" w:sz="2" w:space="0" w:color="C9D6E3"/>
              <w:left w:val="single" w:sz="2" w:space="0" w:color="C9D6E3"/>
              <w:bottom w:val="single" w:sz="2" w:space="0" w:color="C9D6E3"/>
              <w:right w:val="single" w:sz="2" w:space="0" w:color="C9D6E3"/>
            </w:tcBorders>
            <w:shd w:val="clear" w:color="auto" w:fill="EEF4FA"/>
            <w:tcMar>
              <w:top w:w="100" w:type="dxa"/>
              <w:left w:w="140" w:type="dxa"/>
              <w:bottom w:w="100" w:type="dxa"/>
              <w:right w:w="140" w:type="dxa"/>
            </w:tcMar>
            <w:vAlign w:val="center"/>
          </w:tcPr>
          <w:p w14:paraId="14204A90" w14:textId="77777777" w:rsidR="00225A77" w:rsidRDefault="00000000">
            <w:r>
              <w:rPr>
                <w:color w:val="0F172A"/>
                <w:sz w:val="20"/>
                <w:szCs w:val="20"/>
              </w:rPr>
              <w:t>HIPAA Security Rule • ISO/IEC 27701 • GDPR • CCPA / CPRA</w:t>
            </w:r>
          </w:p>
        </w:tc>
      </w:tr>
      <w:tr w:rsidR="00225A77" w14:paraId="65B18370" w14:textId="77777777">
        <w:tc>
          <w:tcPr>
            <w:tcW w:w="2400" w:type="dxa"/>
            <w:tcBorders>
              <w:top w:val="single" w:sz="2" w:space="0" w:color="C9D6E3"/>
              <w:left w:val="single" w:sz="2" w:space="0" w:color="C9D6E3"/>
              <w:bottom w:val="single" w:sz="2" w:space="0" w:color="C9D6E3"/>
              <w:right w:val="single" w:sz="2" w:space="0" w:color="C9D6E3"/>
            </w:tcBorders>
            <w:shd w:val="clear" w:color="auto" w:fill="EEF4FA"/>
            <w:tcMar>
              <w:top w:w="100" w:type="dxa"/>
              <w:left w:w="140" w:type="dxa"/>
              <w:bottom w:w="100" w:type="dxa"/>
              <w:right w:w="140" w:type="dxa"/>
            </w:tcMar>
            <w:vAlign w:val="center"/>
          </w:tcPr>
          <w:p w14:paraId="6786B7A8" w14:textId="77777777" w:rsidR="00225A77" w:rsidRDefault="00000000">
            <w:r>
              <w:rPr>
                <w:color w:val="0F172A"/>
                <w:sz w:val="20"/>
                <w:szCs w:val="20"/>
              </w:rPr>
              <w:t>Sector &amp; Regional</w:t>
            </w:r>
          </w:p>
        </w:tc>
        <w:tc>
          <w:tcPr>
            <w:tcW w:w="6960" w:type="dxa"/>
            <w:tcBorders>
              <w:top w:val="single" w:sz="2" w:space="0" w:color="C9D6E3"/>
              <w:left w:val="single" w:sz="2" w:space="0" w:color="C9D6E3"/>
              <w:bottom w:val="single" w:sz="2" w:space="0" w:color="C9D6E3"/>
              <w:right w:val="single" w:sz="2" w:space="0" w:color="C9D6E3"/>
            </w:tcBorders>
            <w:shd w:val="clear" w:color="auto" w:fill="EEF4FA"/>
            <w:tcMar>
              <w:top w:w="100" w:type="dxa"/>
              <w:left w:w="140" w:type="dxa"/>
              <w:bottom w:w="100" w:type="dxa"/>
              <w:right w:w="140" w:type="dxa"/>
            </w:tcMar>
            <w:vAlign w:val="center"/>
          </w:tcPr>
          <w:p w14:paraId="36408EC2" w14:textId="77777777" w:rsidR="00225A77" w:rsidRDefault="00000000">
            <w:r>
              <w:rPr>
                <w:color w:val="0F172A"/>
                <w:sz w:val="20"/>
                <w:szCs w:val="20"/>
              </w:rPr>
              <w:t>GLBA • FFIEC guidance • NY DFS 23 NYCRR 500</w:t>
            </w:r>
          </w:p>
        </w:tc>
      </w:tr>
    </w:tbl>
    <w:p w14:paraId="660C4D28" w14:textId="77777777" w:rsidR="00225A77" w:rsidRDefault="00000000">
      <w:pPr>
        <w:spacing w:before="160" w:after="240"/>
      </w:pPr>
      <w:r>
        <w:rPr>
          <w:i/>
          <w:iCs/>
          <w:sz w:val="18"/>
          <w:szCs w:val="18"/>
        </w:rPr>
        <w:t>Represents a subset of the frameworks 3HUE’s USR/UCB control mapping supports — ask your account team about additional frameworks relevant to your industry and region.</w:t>
      </w:r>
    </w:p>
    <w:p w14:paraId="00F8DFD6" w14:textId="77777777" w:rsidR="00225A77" w:rsidRDefault="00000000">
      <w:pPr>
        <w:pStyle w:val="Heading1"/>
      </w:pPr>
      <w:r>
        <w:t>How the meta-audit engagement works</w:t>
      </w:r>
    </w:p>
    <w:p w14:paraId="66AFC239" w14:textId="77777777" w:rsidR="00225A77" w:rsidRDefault="00000000">
      <w:pPr>
        <w:spacing w:before="200" w:after="40"/>
      </w:pPr>
      <w:proofErr w:type="gramStart"/>
      <w:r>
        <w:rPr>
          <w:b/>
          <w:bCs/>
          <w:color w:val="1F6FB2"/>
          <w:sz w:val="24"/>
          <w:szCs w:val="24"/>
        </w:rPr>
        <w:t xml:space="preserve">01  </w:t>
      </w:r>
      <w:r>
        <w:rPr>
          <w:b/>
          <w:bCs/>
          <w:color w:val="0F172A"/>
        </w:rPr>
        <w:t>Map</w:t>
      </w:r>
      <w:proofErr w:type="gramEnd"/>
      <w:r>
        <w:rPr>
          <w:b/>
          <w:bCs/>
          <w:color w:val="0F172A"/>
        </w:rPr>
        <w:t xml:space="preserve"> once to USR</w:t>
      </w:r>
    </w:p>
    <w:p w14:paraId="7FBAE85C" w14:textId="77777777" w:rsidR="00225A77" w:rsidRDefault="00000000">
      <w:pPr>
        <w:pBdr>
          <w:bottom w:val="single" w:sz="4" w:space="6" w:color="C9D6E3"/>
        </w:pBdr>
        <w:spacing w:after="120"/>
      </w:pPr>
      <w:r>
        <w:rPr>
          <w:sz w:val="20"/>
          <w:szCs w:val="20"/>
        </w:rPr>
        <w:t>Every obligation across your target frameworks is mapped a single time to the USR/UCB control baseline.</w:t>
      </w:r>
    </w:p>
    <w:p w14:paraId="40710D0E" w14:textId="77777777" w:rsidR="00225A77" w:rsidRDefault="00000000">
      <w:pPr>
        <w:spacing w:before="200" w:after="40"/>
      </w:pPr>
      <w:proofErr w:type="gramStart"/>
      <w:r>
        <w:rPr>
          <w:b/>
          <w:bCs/>
          <w:color w:val="1F6FB2"/>
          <w:sz w:val="24"/>
          <w:szCs w:val="24"/>
        </w:rPr>
        <w:t xml:space="preserve">02  </w:t>
      </w:r>
      <w:r>
        <w:rPr>
          <w:b/>
          <w:bCs/>
          <w:color w:val="0F172A"/>
        </w:rPr>
        <w:t>Collect</w:t>
      </w:r>
      <w:proofErr w:type="gramEnd"/>
      <w:r>
        <w:rPr>
          <w:b/>
          <w:bCs/>
          <w:color w:val="0F172A"/>
        </w:rPr>
        <w:t xml:space="preserve"> evidence continuously</w:t>
      </w:r>
    </w:p>
    <w:p w14:paraId="4C0EA0D6" w14:textId="77777777" w:rsidR="00225A77" w:rsidRDefault="00000000">
      <w:pPr>
        <w:pBdr>
          <w:bottom w:val="single" w:sz="4" w:space="6" w:color="C9D6E3"/>
        </w:pBdr>
        <w:spacing w:after="120"/>
      </w:pPr>
      <w:r>
        <w:rPr>
          <w:sz w:val="20"/>
          <w:szCs w:val="20"/>
        </w:rPr>
        <w:t xml:space="preserve">Evidence is gathered on an ongoing basis instead of scrambled together </w:t>
      </w:r>
      <w:proofErr w:type="gramStart"/>
      <w:r>
        <w:rPr>
          <w:sz w:val="20"/>
          <w:szCs w:val="20"/>
        </w:rPr>
        <w:t>per</w:t>
      </w:r>
      <w:proofErr w:type="gramEnd"/>
      <w:r>
        <w:rPr>
          <w:sz w:val="20"/>
          <w:szCs w:val="20"/>
        </w:rPr>
        <w:t xml:space="preserve"> audit cycle.</w:t>
      </w:r>
    </w:p>
    <w:p w14:paraId="683D07E8" w14:textId="77777777" w:rsidR="00225A77" w:rsidRDefault="00000000">
      <w:pPr>
        <w:spacing w:before="200" w:after="40"/>
      </w:pPr>
      <w:proofErr w:type="gramStart"/>
      <w:r>
        <w:rPr>
          <w:b/>
          <w:bCs/>
          <w:color w:val="1F6FB2"/>
          <w:sz w:val="24"/>
          <w:szCs w:val="24"/>
        </w:rPr>
        <w:t xml:space="preserve">03  </w:t>
      </w:r>
      <w:r>
        <w:rPr>
          <w:b/>
          <w:bCs/>
          <w:color w:val="0F172A"/>
        </w:rPr>
        <w:t>Validate</w:t>
      </w:r>
      <w:proofErr w:type="gramEnd"/>
      <w:r>
        <w:rPr>
          <w:b/>
          <w:bCs/>
          <w:color w:val="0F172A"/>
        </w:rPr>
        <w:t xml:space="preserve"> every framework in parallel</w:t>
      </w:r>
    </w:p>
    <w:p w14:paraId="08654B24" w14:textId="77777777" w:rsidR="00225A77" w:rsidRDefault="00000000">
      <w:pPr>
        <w:pBdr>
          <w:bottom w:val="single" w:sz="4" w:space="6" w:color="C9D6E3"/>
        </w:pBdr>
        <w:spacing w:after="120"/>
      </w:pPr>
      <w:r>
        <w:rPr>
          <w:sz w:val="20"/>
          <w:szCs w:val="20"/>
        </w:rPr>
        <w:t>Each control is tested once and checked against every mapped framework at the same time.</w:t>
      </w:r>
    </w:p>
    <w:p w14:paraId="31006139" w14:textId="77777777" w:rsidR="00225A77" w:rsidRDefault="00000000">
      <w:pPr>
        <w:spacing w:before="200" w:after="40"/>
      </w:pPr>
      <w:proofErr w:type="gramStart"/>
      <w:r>
        <w:rPr>
          <w:b/>
          <w:bCs/>
          <w:color w:val="1F6FB2"/>
          <w:sz w:val="24"/>
          <w:szCs w:val="24"/>
        </w:rPr>
        <w:t xml:space="preserve">04  </w:t>
      </w:r>
      <w:r>
        <w:rPr>
          <w:b/>
          <w:bCs/>
          <w:color w:val="0F172A"/>
        </w:rPr>
        <w:t>Deliver</w:t>
      </w:r>
      <w:proofErr w:type="gramEnd"/>
      <w:r>
        <w:rPr>
          <w:b/>
          <w:bCs/>
          <w:color w:val="0F172A"/>
        </w:rPr>
        <w:t xml:space="preserve"> one audit-ready evidence set</w:t>
      </w:r>
    </w:p>
    <w:p w14:paraId="769E8392" w14:textId="77777777" w:rsidR="00225A77" w:rsidRDefault="00000000">
      <w:pPr>
        <w:pBdr>
          <w:bottom w:val="single" w:sz="4" w:space="6" w:color="C9D6E3"/>
        </w:pBdr>
        <w:spacing w:after="120"/>
        <w:rPr>
          <w:sz w:val="20"/>
          <w:szCs w:val="20"/>
        </w:rPr>
      </w:pPr>
      <w:r>
        <w:rPr>
          <w:sz w:val="20"/>
          <w:szCs w:val="20"/>
        </w:rPr>
        <w:t>A single evidence trail supports SOC 2, HITRUST, and every other framework in scope — reviewed once, not once per certification.</w:t>
      </w:r>
    </w:p>
    <w:tbl>
      <w:tblPr>
        <w:tblStyle w:val="TableGrid"/>
        <w:tblpPr w:leftFromText="180" w:rightFromText="180" w:vertAnchor="text" w:horzAnchor="margin" w:tblpY="3"/>
        <w:tblW w:w="0" w:type="auto"/>
        <w:tblLook w:val="04A0" w:firstRow="1" w:lastRow="0" w:firstColumn="1" w:lastColumn="0" w:noHBand="0" w:noVBand="1"/>
      </w:tblPr>
      <w:tblGrid>
        <w:gridCol w:w="9350"/>
      </w:tblGrid>
      <w:tr w:rsidR="005B711C" w14:paraId="2E1C27CC" w14:textId="77777777" w:rsidTr="005B711C">
        <w:tc>
          <w:tcPr>
            <w:tcW w:w="9350" w:type="dxa"/>
            <w:shd w:val="clear" w:color="auto" w:fill="000026"/>
          </w:tcPr>
          <w:p w14:paraId="49222A9F" w14:textId="77777777" w:rsidR="005B711C" w:rsidRDefault="005B711C" w:rsidP="005B711C">
            <w:pPr>
              <w:shd w:val="clear" w:color="auto" w:fill="0F172A"/>
              <w:spacing w:before="360" w:after="80"/>
              <w:rPr>
                <w:b/>
                <w:bCs/>
                <w:color w:val="FFFFFF"/>
                <w:sz w:val="26"/>
                <w:szCs w:val="26"/>
              </w:rPr>
            </w:pPr>
            <w:r>
              <w:rPr>
                <w:b/>
                <w:bCs/>
                <w:color w:val="FFFFFF"/>
                <w:sz w:val="26"/>
                <w:szCs w:val="26"/>
              </w:rPr>
              <w:t xml:space="preserve">  </w:t>
            </w:r>
          </w:p>
          <w:p w14:paraId="3EC9EEA1" w14:textId="77777777" w:rsidR="005B711C" w:rsidRDefault="005B711C" w:rsidP="005B711C">
            <w:pPr>
              <w:shd w:val="clear" w:color="auto" w:fill="0F172A"/>
              <w:spacing w:after="80"/>
              <w:jc w:val="center"/>
            </w:pPr>
            <w:r>
              <w:rPr>
                <w:b/>
                <w:bCs/>
                <w:color w:val="FFFFFF"/>
                <w:sz w:val="26"/>
                <w:szCs w:val="26"/>
              </w:rPr>
              <w:t>Ready to consolidate your audits?</w:t>
            </w:r>
          </w:p>
          <w:p w14:paraId="63D45A4C" w14:textId="17D3C100" w:rsidR="005B711C" w:rsidRDefault="005B711C" w:rsidP="005B711C">
            <w:pPr>
              <w:shd w:val="clear" w:color="auto" w:fill="0F172A"/>
              <w:spacing w:after="40"/>
              <w:jc w:val="center"/>
            </w:pPr>
            <w:r>
              <w:rPr>
                <w:color w:val="DBEAFE"/>
                <w:sz w:val="20"/>
                <w:szCs w:val="20"/>
              </w:rPr>
              <w:t>Request a consult with 3HUE to scope a meta-audit program across your frameworks.</w:t>
            </w:r>
          </w:p>
          <w:p w14:paraId="7F244947" w14:textId="5C5D26F8" w:rsidR="005B711C" w:rsidRPr="005B711C" w:rsidRDefault="005B711C" w:rsidP="005B711C">
            <w:pPr>
              <w:shd w:val="clear" w:color="auto" w:fill="0F172A"/>
              <w:spacing w:after="320"/>
              <w:jc w:val="center"/>
            </w:pPr>
            <w:hyperlink r:id="rId8" w:history="1">
              <w:r>
                <w:rPr>
                  <w:rStyle w:val="Hyperlink"/>
                  <w:color w:val="9FD4F0"/>
                  <w:sz w:val="20"/>
                  <w:szCs w:val="20"/>
                </w:rPr>
                <w:t xml:space="preserve">  3hue.net/contact.html</w:t>
              </w:r>
            </w:hyperlink>
          </w:p>
        </w:tc>
      </w:tr>
    </w:tbl>
    <w:p w14:paraId="1AEA38D5" w14:textId="77777777" w:rsidR="005B711C" w:rsidRDefault="005B711C">
      <w:pPr>
        <w:pBdr>
          <w:bottom w:val="single" w:sz="4" w:space="6" w:color="C9D6E3"/>
        </w:pBdr>
        <w:spacing w:after="120"/>
        <w:rPr>
          <w:sz w:val="20"/>
          <w:szCs w:val="20"/>
        </w:rPr>
      </w:pPr>
    </w:p>
    <w:p w14:paraId="6391D62D" w14:textId="77777777" w:rsidR="00225A77" w:rsidRDefault="00000000">
      <w:pPr>
        <w:pBdr>
          <w:top w:val="single" w:sz="4" w:space="8" w:color="C9D6E3"/>
        </w:pBdr>
        <w:spacing w:before="200"/>
      </w:pPr>
      <w:r>
        <w:rPr>
          <w:i/>
          <w:iCs/>
          <w:sz w:val="15"/>
          <w:szCs w:val="15"/>
        </w:rPr>
        <w:t>AiVRIC CloudSignals+ RiskOps and the AIRE Agentic Mesh are AiVRIC Technologies platforms; 3HUE architected UCB as AiVRIC’s GRC Build partner. USR is 3HUE’s own framework used to deliver ISG Managed Programs. Framework names are the property of their respective standards bodies. Service scope and terms confirmed in an executed Statement of Work.</w:t>
      </w:r>
    </w:p>
    <w:sectPr w:rsidR="00225A77" w:rsidSect="008E224C">
      <w:headerReference w:type="firs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F8CA" w14:textId="77777777" w:rsidR="000671A5" w:rsidRDefault="000671A5" w:rsidP="008D21C3">
      <w:r>
        <w:separator/>
      </w:r>
    </w:p>
  </w:endnote>
  <w:endnote w:type="continuationSeparator" w:id="0">
    <w:p w14:paraId="526F8A13" w14:textId="77777777" w:rsidR="000671A5" w:rsidRDefault="000671A5" w:rsidP="008D2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BFE14" w14:textId="77777777" w:rsidR="000671A5" w:rsidRDefault="000671A5" w:rsidP="008D21C3">
      <w:r>
        <w:separator/>
      </w:r>
    </w:p>
  </w:footnote>
  <w:footnote w:type="continuationSeparator" w:id="0">
    <w:p w14:paraId="6116C323" w14:textId="77777777" w:rsidR="000671A5" w:rsidRDefault="000671A5" w:rsidP="008D2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435D" w14:textId="20795970" w:rsidR="008E224C" w:rsidRDefault="008E224C">
    <w:pPr>
      <w:pStyle w:val="Header"/>
    </w:pPr>
    <w:r>
      <w:rPr>
        <w:noProof/>
      </w:rPr>
      <mc:AlternateContent>
        <mc:Choice Requires="wps">
          <w:drawing>
            <wp:anchor distT="0" distB="0" distL="114300" distR="114300" simplePos="0" relativeHeight="251659264" behindDoc="0" locked="0" layoutInCell="1" allowOverlap="1" wp14:anchorId="6A68D0F0" wp14:editId="456790A2">
              <wp:simplePos x="0" y="0"/>
              <wp:positionH relativeFrom="page">
                <wp:posOffset>9525</wp:posOffset>
              </wp:positionH>
              <wp:positionV relativeFrom="paragraph">
                <wp:posOffset>-449580</wp:posOffset>
              </wp:positionV>
              <wp:extent cx="8072120" cy="3181350"/>
              <wp:effectExtent l="0" t="0" r="24130" b="19050"/>
              <wp:wrapNone/>
              <wp:docPr id="462356962" name="Rectangle 1"/>
              <wp:cNvGraphicFramePr/>
              <a:graphic xmlns:a="http://schemas.openxmlformats.org/drawingml/2006/main">
                <a:graphicData uri="http://schemas.microsoft.com/office/word/2010/wordprocessingShape">
                  <wps:wsp>
                    <wps:cNvSpPr/>
                    <wps:spPr>
                      <a:xfrm>
                        <a:off x="0" y="0"/>
                        <a:ext cx="8072120" cy="3181350"/>
                      </a:xfrm>
                      <a:prstGeom prst="rect">
                        <a:avLst/>
                      </a:prstGeom>
                      <a:solidFill>
                        <a:schemeClr val="tx1">
                          <a:lumMod val="85000"/>
                          <a:lumOff val="1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8DA41" id="Rectangle 1" o:spid="_x0000_s1026" style="position:absolute;margin-left:.75pt;margin-top:-35.4pt;width:635.6pt;height:25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" fillcolor="#272727 [2749]" strokecolor="#030e13 [484]" strokeweight="1.5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814DD"/>
    <w:multiLevelType w:val="hybridMultilevel"/>
    <w:tmpl w:val="4D5E5EFA"/>
    <w:lvl w:ilvl="0" w:tplc="21447C2E">
      <w:start w:val="1"/>
      <w:numFmt w:val="bullet"/>
      <w:lvlText w:val="●"/>
      <w:lvlJc w:val="left"/>
      <w:pPr>
        <w:ind w:left="720" w:hanging="360"/>
      </w:pPr>
    </w:lvl>
    <w:lvl w:ilvl="1" w:tplc="8E108802">
      <w:start w:val="1"/>
      <w:numFmt w:val="bullet"/>
      <w:lvlText w:val="○"/>
      <w:lvlJc w:val="left"/>
      <w:pPr>
        <w:ind w:left="1440" w:hanging="360"/>
      </w:pPr>
    </w:lvl>
    <w:lvl w:ilvl="2" w:tplc="23304504">
      <w:start w:val="1"/>
      <w:numFmt w:val="bullet"/>
      <w:lvlText w:val="■"/>
      <w:lvlJc w:val="left"/>
      <w:pPr>
        <w:ind w:left="2160" w:hanging="360"/>
      </w:pPr>
    </w:lvl>
    <w:lvl w:ilvl="3" w:tplc="3A16B65E">
      <w:start w:val="1"/>
      <w:numFmt w:val="bullet"/>
      <w:lvlText w:val="●"/>
      <w:lvlJc w:val="left"/>
      <w:pPr>
        <w:ind w:left="2880" w:hanging="360"/>
      </w:pPr>
    </w:lvl>
    <w:lvl w:ilvl="4" w:tplc="D85E2974">
      <w:start w:val="1"/>
      <w:numFmt w:val="bullet"/>
      <w:lvlText w:val="○"/>
      <w:lvlJc w:val="left"/>
      <w:pPr>
        <w:ind w:left="3600" w:hanging="360"/>
      </w:pPr>
    </w:lvl>
    <w:lvl w:ilvl="5" w:tplc="B194EBB6">
      <w:start w:val="1"/>
      <w:numFmt w:val="bullet"/>
      <w:lvlText w:val="■"/>
      <w:lvlJc w:val="left"/>
      <w:pPr>
        <w:ind w:left="4320" w:hanging="360"/>
      </w:pPr>
    </w:lvl>
    <w:lvl w:ilvl="6" w:tplc="68DE8450">
      <w:start w:val="1"/>
      <w:numFmt w:val="bullet"/>
      <w:lvlText w:val="●"/>
      <w:lvlJc w:val="left"/>
      <w:pPr>
        <w:ind w:left="5040" w:hanging="360"/>
      </w:pPr>
    </w:lvl>
    <w:lvl w:ilvl="7" w:tplc="69B0F974">
      <w:start w:val="1"/>
      <w:numFmt w:val="bullet"/>
      <w:lvlText w:val="●"/>
      <w:lvlJc w:val="left"/>
      <w:pPr>
        <w:ind w:left="5760" w:hanging="360"/>
      </w:pPr>
    </w:lvl>
    <w:lvl w:ilvl="8" w:tplc="6BE21A1E">
      <w:start w:val="1"/>
      <w:numFmt w:val="bullet"/>
      <w:lvlText w:val="●"/>
      <w:lvlJc w:val="left"/>
      <w:pPr>
        <w:ind w:left="6480" w:hanging="360"/>
      </w:pPr>
    </w:lvl>
  </w:abstractNum>
  <w:num w:numId="1" w16cid:durableId="1464809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A77"/>
    <w:rsid w:val="000570DE"/>
    <w:rsid w:val="000671A5"/>
    <w:rsid w:val="00225A77"/>
    <w:rsid w:val="004232A6"/>
    <w:rsid w:val="005B711C"/>
    <w:rsid w:val="008D21C3"/>
    <w:rsid w:val="008E2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6919B"/>
  <w15:docId w15:val="{4154186E-E3B6-4BB6-8B40-B859D8E15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B556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F172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B71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21C3"/>
    <w:pPr>
      <w:tabs>
        <w:tab w:val="center" w:pos="4680"/>
        <w:tab w:val="right" w:pos="9360"/>
      </w:tabs>
    </w:pPr>
  </w:style>
  <w:style w:type="character" w:customStyle="1" w:styleId="HeaderChar">
    <w:name w:val="Header Char"/>
    <w:basedOn w:val="DefaultParagraphFont"/>
    <w:link w:val="Header"/>
    <w:uiPriority w:val="99"/>
    <w:rsid w:val="008D21C3"/>
  </w:style>
  <w:style w:type="paragraph" w:styleId="Footer">
    <w:name w:val="footer"/>
    <w:basedOn w:val="Normal"/>
    <w:link w:val="FooterChar"/>
    <w:uiPriority w:val="99"/>
    <w:unhideWhenUsed/>
    <w:rsid w:val="008D21C3"/>
    <w:pPr>
      <w:tabs>
        <w:tab w:val="center" w:pos="4680"/>
        <w:tab w:val="right" w:pos="9360"/>
      </w:tabs>
    </w:pPr>
  </w:style>
  <w:style w:type="character" w:customStyle="1" w:styleId="FooterChar">
    <w:name w:val="Footer Char"/>
    <w:basedOn w:val="DefaultParagraphFont"/>
    <w:link w:val="Footer"/>
    <w:uiPriority w:val="99"/>
    <w:rsid w:val="008D2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3hue.net/contact.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512</Words>
  <Characters>2930</Characters>
  <Application>Microsoft Office Word</Application>
  <DocSecurity>0</DocSecurity>
  <Lines>63</Lines>
  <Paragraphs>40</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Ramirez</cp:lastModifiedBy>
  <cp:revision>5</cp:revision>
  <dcterms:created xsi:type="dcterms:W3CDTF">2026-07-05T16:35:00Z</dcterms:created>
  <dcterms:modified xsi:type="dcterms:W3CDTF">2026-07-05T16:55:00Z</dcterms:modified>
</cp:coreProperties>
</file>