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A23F5" w14:textId="77777777" w:rsidR="00007F40" w:rsidRPr="00DB2504" w:rsidRDefault="00007F40" w:rsidP="00DB2504">
      <w:pPr>
        <w:pStyle w:val="Title"/>
        <w:rPr>
          <w:sz w:val="48"/>
          <w:szCs w:val="48"/>
        </w:rPr>
      </w:pPr>
      <w:r w:rsidRPr="00DB2504">
        <w:rPr>
          <w:sz w:val="48"/>
          <w:szCs w:val="48"/>
        </w:rPr>
        <w:t>Client Case Study: Transforming Global Cloud Governance for a Leading North American Bank</w:t>
      </w:r>
    </w:p>
    <w:p w14:paraId="3332BBDB" w14:textId="77777777" w:rsidR="00DB2504" w:rsidRDefault="00DB2504" w:rsidP="00007F40"/>
    <w:p w14:paraId="0A8CA632" w14:textId="1318BF16" w:rsidR="00007F40" w:rsidRDefault="00007F40" w:rsidP="00612BA9">
      <w:pPr>
        <w:spacing w:after="0"/>
      </w:pPr>
      <w:r w:rsidRPr="005A5A2F">
        <w:rPr>
          <w:b/>
          <w:bCs/>
        </w:rPr>
        <w:t>Client:</w:t>
      </w:r>
      <w:r w:rsidR="005A5A2F">
        <w:t xml:space="preserve"> </w:t>
      </w:r>
      <w:r>
        <w:t>Confidential – One of North America’s Largest Banking Institutions</w:t>
      </w:r>
    </w:p>
    <w:p w14:paraId="50D06FC1" w14:textId="4F9F7925" w:rsidR="00007F40" w:rsidRDefault="00007F40" w:rsidP="00612BA9">
      <w:pPr>
        <w:spacing w:after="0"/>
      </w:pPr>
      <w:r w:rsidRPr="005A5A2F">
        <w:rPr>
          <w:b/>
          <w:bCs/>
        </w:rPr>
        <w:t>Industry:</w:t>
      </w:r>
      <w:r>
        <w:t xml:space="preserve"> </w:t>
      </w:r>
      <w:r w:rsidR="009E1161">
        <w:t xml:space="preserve">Banking &amp; </w:t>
      </w:r>
      <w:r>
        <w:t>Financial Services</w:t>
      </w:r>
    </w:p>
    <w:p w14:paraId="675C23AA" w14:textId="29463D51" w:rsidR="00007F40" w:rsidRDefault="00007F40" w:rsidP="00612BA9">
      <w:pPr>
        <w:spacing w:after="0"/>
      </w:pPr>
      <w:r w:rsidRPr="005A5A2F">
        <w:rPr>
          <w:b/>
          <w:bCs/>
        </w:rPr>
        <w:t>Engagement Period:</w:t>
      </w:r>
      <w:r>
        <w:t xml:space="preserve"> </w:t>
      </w:r>
      <w:r w:rsidR="0001454F">
        <w:t>6</w:t>
      </w:r>
      <w:r>
        <w:t xml:space="preserve"> Months</w:t>
      </w:r>
    </w:p>
    <w:p w14:paraId="76F16ED0" w14:textId="704D5773" w:rsidR="00007F40" w:rsidRDefault="00007F40" w:rsidP="00007F40">
      <w:r w:rsidRPr="005A5A2F">
        <w:rPr>
          <w:b/>
          <w:bCs/>
        </w:rPr>
        <w:t>Services Provided:</w:t>
      </w:r>
      <w:r>
        <w:t xml:space="preserve"> Governance, Risk, and Compliance (GRC) Strategy Development, Cloud Governance, Regulatory Compliance, IT Contractor (ITC) Sourcing and Management</w:t>
      </w:r>
    </w:p>
    <w:p w14:paraId="2735255D" w14:textId="77777777" w:rsidR="00007F40" w:rsidRPr="00EC5B18" w:rsidRDefault="00007F40" w:rsidP="00EC5B18">
      <w:pPr>
        <w:pStyle w:val="Heading1"/>
        <w:rPr>
          <w:b/>
          <w:bCs/>
          <w:sz w:val="28"/>
          <w:szCs w:val="28"/>
        </w:rPr>
      </w:pPr>
      <w:r w:rsidRPr="00EC5B18">
        <w:rPr>
          <w:b/>
          <w:bCs/>
          <w:sz w:val="28"/>
          <w:szCs w:val="28"/>
        </w:rPr>
        <w:t>Background</w:t>
      </w:r>
    </w:p>
    <w:p w14:paraId="3CE727BE" w14:textId="777234AB" w:rsidR="00007F40" w:rsidRDefault="00007F40" w:rsidP="00007F40">
      <w:r>
        <w:t xml:space="preserve">A leading North American banking institution, recognized as one of the largest financial services organizations globally, faced critical regulatory challenges tied to its global business operations. Amidst a corporate reorganization, the bank needed to assess and certify over 1,000 systems against newly established control objectives—all within a stringent </w:t>
      </w:r>
      <w:r w:rsidR="0001454F">
        <w:t>6</w:t>
      </w:r>
      <w:r>
        <w:t>-month timeline. Despite having extensive human resources, the bank lacked a cohesive strategy to scale a continuous cloud governance practice capable of ensuring compliance in this dynamic regulatory landscape.</w:t>
      </w:r>
    </w:p>
    <w:p w14:paraId="3F3F6DA1" w14:textId="17829556" w:rsidR="00007F40" w:rsidRDefault="00007F40" w:rsidP="00007F40">
      <w:r>
        <w:t>The urgency was amplified by the fact that prior engagements with other consultancies had failed to deliver the necessary progress, leading to significant time loss. This challenge presented not only a compliance risk but also potential setbacks for the bank’s broader corporate restructuring efforts.</w:t>
      </w:r>
    </w:p>
    <w:p w14:paraId="7F5D8A55" w14:textId="77777777" w:rsidR="00007F40" w:rsidRPr="00EC5B18" w:rsidRDefault="00007F40" w:rsidP="00EC5B18">
      <w:pPr>
        <w:pStyle w:val="Heading1"/>
        <w:rPr>
          <w:b/>
          <w:bCs/>
          <w:sz w:val="28"/>
          <w:szCs w:val="28"/>
        </w:rPr>
      </w:pPr>
      <w:r w:rsidRPr="00EC5B18">
        <w:rPr>
          <w:b/>
          <w:bCs/>
          <w:sz w:val="28"/>
          <w:szCs w:val="28"/>
        </w:rPr>
        <w:t>The 3HUE Advantage</w:t>
      </w:r>
    </w:p>
    <w:p w14:paraId="4ABC9B19" w14:textId="5E24DF1F" w:rsidR="00007F40" w:rsidRDefault="00007F40" w:rsidP="00007F40">
      <w:r>
        <w:t>Due to deep, trusted relationships with senior executives at the bank from prior successful engagements, 3HUE was invited to take the lead in this critical initiative. In collaboration with large consulting partners, 3HUE was tasked with developing a robust strategy to ensure the certification of all systems within the required timeline—a formidable challenge given the complexity of global operations and the failures of previous consulting efforts.</w:t>
      </w:r>
    </w:p>
    <w:p w14:paraId="1179877A" w14:textId="77777777" w:rsidR="00612BA9" w:rsidRDefault="00612BA9">
      <w:pPr>
        <w:rPr>
          <w:rFonts w:asciiTheme="majorHAnsi" w:eastAsiaTheme="majorEastAsia" w:hAnsiTheme="majorHAnsi" w:cstheme="majorBidi"/>
          <w:b/>
          <w:bCs/>
          <w:color w:val="0F4761" w:themeColor="accent1" w:themeShade="BF"/>
          <w:sz w:val="28"/>
          <w:szCs w:val="28"/>
        </w:rPr>
      </w:pPr>
      <w:r>
        <w:rPr>
          <w:b/>
          <w:bCs/>
          <w:sz w:val="28"/>
          <w:szCs w:val="28"/>
        </w:rPr>
        <w:br w:type="page"/>
      </w:r>
    </w:p>
    <w:p w14:paraId="70FFA553" w14:textId="46A36420" w:rsidR="00612BA9" w:rsidRPr="00612BA9" w:rsidRDefault="00007F40" w:rsidP="00612BA9">
      <w:pPr>
        <w:pStyle w:val="Heading1"/>
        <w:rPr>
          <w:b/>
          <w:bCs/>
          <w:sz w:val="28"/>
          <w:szCs w:val="28"/>
        </w:rPr>
      </w:pPr>
      <w:r w:rsidRPr="00612BA9">
        <w:rPr>
          <w:b/>
          <w:bCs/>
          <w:sz w:val="28"/>
          <w:szCs w:val="28"/>
        </w:rPr>
        <w:lastRenderedPageBreak/>
        <w:t>Challenges</w:t>
      </w:r>
    </w:p>
    <w:p w14:paraId="0CF04D68" w14:textId="25D219D7" w:rsidR="00007F40" w:rsidRPr="00612BA9" w:rsidRDefault="00007F40" w:rsidP="00612BA9">
      <w:pPr>
        <w:pStyle w:val="ListParagraph"/>
        <w:numPr>
          <w:ilvl w:val="0"/>
          <w:numId w:val="8"/>
        </w:numPr>
        <w:spacing w:after="120"/>
        <w:contextualSpacing w:val="0"/>
      </w:pPr>
      <w:r w:rsidRPr="00612BA9">
        <w:rPr>
          <w:b/>
          <w:bCs/>
        </w:rPr>
        <w:t>Regulatory Pressure &amp; Tight Deadlines:</w:t>
      </w:r>
      <w:r w:rsidR="00D44288" w:rsidRPr="00612BA9">
        <w:rPr>
          <w:b/>
          <w:bCs/>
        </w:rPr>
        <w:t xml:space="preserve"> </w:t>
      </w:r>
      <w:r w:rsidRPr="00612BA9">
        <w:t>The bank faced intense regulatory scrutiny and needed to certify over 1,000 global systems within 12 months, with no room for error.</w:t>
      </w:r>
    </w:p>
    <w:p w14:paraId="6B0514F8" w14:textId="5BB8A8FF" w:rsidR="00007F40" w:rsidRPr="00612BA9" w:rsidRDefault="00007F40" w:rsidP="00612BA9">
      <w:pPr>
        <w:pStyle w:val="ListParagraph"/>
        <w:numPr>
          <w:ilvl w:val="0"/>
          <w:numId w:val="8"/>
        </w:numPr>
        <w:spacing w:after="120"/>
        <w:contextualSpacing w:val="0"/>
      </w:pPr>
      <w:r w:rsidRPr="00D44288">
        <w:rPr>
          <w:b/>
          <w:bCs/>
        </w:rPr>
        <w:t>Complex Global Operations:</w:t>
      </w:r>
      <w:r w:rsidR="00D44288" w:rsidRPr="00612BA9">
        <w:rPr>
          <w:b/>
          <w:bCs/>
        </w:rPr>
        <w:t xml:space="preserve"> </w:t>
      </w:r>
      <w:r w:rsidRPr="00612BA9">
        <w:t>The bank’s extensive international presence meant navigating varied regulatory landscapes and aligning disparate systems with unified control objectives.</w:t>
      </w:r>
    </w:p>
    <w:p w14:paraId="2F9CF585" w14:textId="6A66FFE2" w:rsidR="00007F40" w:rsidRPr="00612BA9" w:rsidRDefault="00007F40" w:rsidP="00612BA9">
      <w:pPr>
        <w:pStyle w:val="ListParagraph"/>
        <w:numPr>
          <w:ilvl w:val="0"/>
          <w:numId w:val="8"/>
        </w:numPr>
        <w:spacing w:after="120"/>
        <w:contextualSpacing w:val="0"/>
      </w:pPr>
      <w:r w:rsidRPr="00D44288">
        <w:rPr>
          <w:b/>
          <w:bCs/>
        </w:rPr>
        <w:t>Previous Consultancy Failures:</w:t>
      </w:r>
      <w:r w:rsidR="00D44288" w:rsidRPr="00612BA9">
        <w:rPr>
          <w:b/>
          <w:bCs/>
        </w:rPr>
        <w:t xml:space="preserve"> </w:t>
      </w:r>
      <w:r w:rsidRPr="00612BA9">
        <w:t>Time had already been lost due to ineffective consultancy engagements, making the timeline even more challenging.</w:t>
      </w:r>
    </w:p>
    <w:p w14:paraId="5C2740CA" w14:textId="480602AF" w:rsidR="00007F40" w:rsidRPr="00612BA9" w:rsidRDefault="00007F40" w:rsidP="00612BA9">
      <w:pPr>
        <w:pStyle w:val="ListParagraph"/>
        <w:numPr>
          <w:ilvl w:val="0"/>
          <w:numId w:val="8"/>
        </w:numPr>
        <w:spacing w:after="120"/>
        <w:contextualSpacing w:val="0"/>
      </w:pPr>
      <w:r w:rsidRPr="00D44288">
        <w:rPr>
          <w:b/>
          <w:bCs/>
        </w:rPr>
        <w:t>Need for Scalable Cloud Governance:</w:t>
      </w:r>
      <w:r w:rsidR="00D44288" w:rsidRPr="00612BA9">
        <w:rPr>
          <w:b/>
          <w:bCs/>
        </w:rPr>
        <w:t xml:space="preserve"> </w:t>
      </w:r>
      <w:r w:rsidRPr="00612BA9">
        <w:t>A new internal practice for continuous cloud governance oversight had to be developed from scratch, aligning with the bank’s ongoing corporate reorganization.</w:t>
      </w:r>
    </w:p>
    <w:p w14:paraId="22C5EAA3" w14:textId="77777777" w:rsidR="00612BA9" w:rsidRDefault="00612BA9" w:rsidP="00612BA9"/>
    <w:p w14:paraId="68ED7240" w14:textId="77777777" w:rsidR="00007F40" w:rsidRPr="00D44288" w:rsidRDefault="00007F40" w:rsidP="00EC5B18">
      <w:pPr>
        <w:pStyle w:val="Heading1"/>
        <w:rPr>
          <w:b/>
          <w:bCs/>
          <w:sz w:val="28"/>
          <w:szCs w:val="28"/>
        </w:rPr>
      </w:pPr>
      <w:r w:rsidRPr="00D44288">
        <w:rPr>
          <w:b/>
          <w:bCs/>
          <w:sz w:val="28"/>
          <w:szCs w:val="28"/>
        </w:rPr>
        <w:t>3HUE's Approach</w:t>
      </w:r>
    </w:p>
    <w:p w14:paraId="7844FE87" w14:textId="5DA44DB1" w:rsidR="00007F40" w:rsidRPr="00527B26" w:rsidRDefault="00007F40" w:rsidP="00612BA9">
      <w:pPr>
        <w:pStyle w:val="ListParagraph"/>
        <w:numPr>
          <w:ilvl w:val="0"/>
          <w:numId w:val="15"/>
        </w:numPr>
        <w:spacing w:after="0"/>
        <w:rPr>
          <w:b/>
          <w:bCs/>
        </w:rPr>
      </w:pPr>
      <w:r w:rsidRPr="00527B26">
        <w:rPr>
          <w:b/>
          <w:bCs/>
        </w:rPr>
        <w:t>Formation of a GRC Tiger Team</w:t>
      </w:r>
    </w:p>
    <w:p w14:paraId="42E7334B" w14:textId="154EC400" w:rsidR="00007F40" w:rsidRDefault="00007F40" w:rsidP="00FF7080">
      <w:pPr>
        <w:spacing w:after="120"/>
      </w:pPr>
      <w:r>
        <w:t>3HUE recommended assembling a GRC Tiger Team of 8 senior consultants with deep expertise in Information Governance, Risk, and Compliance (GRC). This elite team was responsible for:</w:t>
      </w:r>
    </w:p>
    <w:p w14:paraId="3AA78AD4" w14:textId="77777777" w:rsidR="00007F40" w:rsidRDefault="00007F40" w:rsidP="00527B26">
      <w:pPr>
        <w:pStyle w:val="ListParagraph"/>
        <w:numPr>
          <w:ilvl w:val="0"/>
          <w:numId w:val="9"/>
        </w:numPr>
      </w:pPr>
      <w:r>
        <w:t>Developing a comprehensive assessment framework aligned with the bank’s policies and standards.</w:t>
      </w:r>
    </w:p>
    <w:p w14:paraId="62A7C980" w14:textId="6980E39E" w:rsidR="00FF7080" w:rsidRDefault="00007F40" w:rsidP="00975F57">
      <w:pPr>
        <w:pStyle w:val="ListParagraph"/>
        <w:numPr>
          <w:ilvl w:val="0"/>
          <w:numId w:val="9"/>
        </w:numPr>
        <w:spacing w:after="0"/>
      </w:pPr>
      <w:r>
        <w:t>Establishing a scalable strategy that could be replicated across other business units.</w:t>
      </w:r>
    </w:p>
    <w:p w14:paraId="40562300" w14:textId="77777777" w:rsidR="00FF7080" w:rsidRDefault="00FF7080" w:rsidP="00975F57">
      <w:pPr>
        <w:spacing w:after="0"/>
      </w:pPr>
    </w:p>
    <w:p w14:paraId="4EDF9C3F" w14:textId="45A457A1" w:rsidR="00007F40" w:rsidRPr="00FF7080" w:rsidRDefault="00007F40" w:rsidP="00612BA9">
      <w:pPr>
        <w:pStyle w:val="ListParagraph"/>
        <w:numPr>
          <w:ilvl w:val="0"/>
          <w:numId w:val="15"/>
        </w:numPr>
        <w:spacing w:after="0"/>
        <w:rPr>
          <w:b/>
          <w:bCs/>
        </w:rPr>
      </w:pPr>
      <w:r w:rsidRPr="00FF7080">
        <w:rPr>
          <w:b/>
          <w:bCs/>
        </w:rPr>
        <w:t>Development of a Custom GRC Assessment Framework</w:t>
      </w:r>
    </w:p>
    <w:p w14:paraId="7379FDEB" w14:textId="7C107389" w:rsidR="00007F40" w:rsidRDefault="00007F40" w:rsidP="00007F40">
      <w:r>
        <w:t>The 3HUE team engineered an innovative assessment framework that included:</w:t>
      </w:r>
    </w:p>
    <w:p w14:paraId="1CEC4C92" w14:textId="77777777" w:rsidR="00007F40" w:rsidRDefault="00007F40" w:rsidP="00FF7080">
      <w:pPr>
        <w:pStyle w:val="ListParagraph"/>
        <w:numPr>
          <w:ilvl w:val="0"/>
          <w:numId w:val="9"/>
        </w:numPr>
      </w:pPr>
      <w:r>
        <w:t>Assessor Decision Trees &amp; Workflows: Streamlined the decision-making process to ensure consistency and efficiency.</w:t>
      </w:r>
    </w:p>
    <w:p w14:paraId="30423071" w14:textId="77777777" w:rsidR="00007F40" w:rsidRDefault="00007F40" w:rsidP="00FF7080">
      <w:pPr>
        <w:pStyle w:val="ListParagraph"/>
        <w:numPr>
          <w:ilvl w:val="0"/>
          <w:numId w:val="9"/>
        </w:numPr>
      </w:pPr>
      <w:r>
        <w:t>Decision Templates &amp; Snippets: Standardized outputs for quick and accurate reporting.</w:t>
      </w:r>
    </w:p>
    <w:p w14:paraId="764929C0" w14:textId="77777777" w:rsidR="00007F40" w:rsidRDefault="00007F40" w:rsidP="00975F57">
      <w:pPr>
        <w:pStyle w:val="ListParagraph"/>
        <w:numPr>
          <w:ilvl w:val="0"/>
          <w:numId w:val="9"/>
        </w:numPr>
        <w:spacing w:after="0"/>
      </w:pPr>
      <w:r>
        <w:t>Working Standards &amp; Communication Templates: Facilitated seamless collaboration across teams and stakeholders.</w:t>
      </w:r>
    </w:p>
    <w:p w14:paraId="4772C946" w14:textId="77777777" w:rsidR="00975F57" w:rsidRDefault="00975F57" w:rsidP="00975F57">
      <w:pPr>
        <w:spacing w:after="0"/>
      </w:pPr>
    </w:p>
    <w:p w14:paraId="2CD27FF5" w14:textId="77777777" w:rsidR="00975F57" w:rsidRDefault="00975F57">
      <w:pPr>
        <w:rPr>
          <w:b/>
          <w:bCs/>
        </w:rPr>
      </w:pPr>
      <w:r>
        <w:rPr>
          <w:b/>
          <w:bCs/>
        </w:rPr>
        <w:br w:type="page"/>
      </w:r>
    </w:p>
    <w:p w14:paraId="6FD3AE9F" w14:textId="6C62FEB6" w:rsidR="00007F40" w:rsidRPr="00FF7080" w:rsidRDefault="00007F40" w:rsidP="00612BA9">
      <w:pPr>
        <w:pStyle w:val="ListParagraph"/>
        <w:numPr>
          <w:ilvl w:val="0"/>
          <w:numId w:val="15"/>
        </w:numPr>
        <w:spacing w:after="0"/>
        <w:rPr>
          <w:b/>
          <w:bCs/>
        </w:rPr>
      </w:pPr>
      <w:r w:rsidRPr="00FF7080">
        <w:rPr>
          <w:b/>
          <w:bCs/>
        </w:rPr>
        <w:lastRenderedPageBreak/>
        <w:t>Deployment of IT Contractor (ITC) Teams</w:t>
      </w:r>
    </w:p>
    <w:p w14:paraId="26DEFDFA" w14:textId="77777777" w:rsidR="00007F40" w:rsidRDefault="00007F40" w:rsidP="00007F40">
      <w:r>
        <w:t>3HUE sourced and deployed large teams of IT Contractors (ITCs) from its consulting bench, supplemented with resources from consulting partners. These teams:</w:t>
      </w:r>
    </w:p>
    <w:p w14:paraId="5B986C2C" w14:textId="77777777" w:rsidR="00007F40" w:rsidRDefault="00007F40" w:rsidP="00975F57">
      <w:pPr>
        <w:pStyle w:val="ListParagraph"/>
        <w:numPr>
          <w:ilvl w:val="0"/>
          <w:numId w:val="9"/>
        </w:numPr>
      </w:pPr>
      <w:r>
        <w:t>Worked full-time, 40-hour weeks for 6-8 months.</w:t>
      </w:r>
    </w:p>
    <w:p w14:paraId="017AAEE0" w14:textId="77777777" w:rsidR="00007F40" w:rsidRDefault="00007F40" w:rsidP="00975F57">
      <w:pPr>
        <w:pStyle w:val="ListParagraph"/>
        <w:numPr>
          <w:ilvl w:val="0"/>
          <w:numId w:val="9"/>
        </w:numPr>
      </w:pPr>
      <w:proofErr w:type="gramStart"/>
      <w:r>
        <w:t>Were</w:t>
      </w:r>
      <w:proofErr w:type="gramEnd"/>
      <w:r>
        <w:t xml:space="preserve"> rigorously trained on the assessment framework developed by the GRC Tiger Team.</w:t>
      </w:r>
    </w:p>
    <w:p w14:paraId="5A938783" w14:textId="77777777" w:rsidR="00007F40" w:rsidRDefault="00007F40" w:rsidP="00975F57">
      <w:pPr>
        <w:pStyle w:val="ListParagraph"/>
        <w:numPr>
          <w:ilvl w:val="0"/>
          <w:numId w:val="9"/>
        </w:numPr>
      </w:pPr>
      <w:r>
        <w:t>Assessed and certified 1,000+ systems globally within the 12-month deadline.</w:t>
      </w:r>
    </w:p>
    <w:p w14:paraId="3B78CDCB" w14:textId="77777777" w:rsidR="00975F57" w:rsidRDefault="00975F57" w:rsidP="00975F57"/>
    <w:p w14:paraId="68C29903" w14:textId="55E6BB9F" w:rsidR="00007F40" w:rsidRPr="00975F57" w:rsidRDefault="00007F40" w:rsidP="00612BA9">
      <w:pPr>
        <w:pStyle w:val="ListParagraph"/>
        <w:numPr>
          <w:ilvl w:val="0"/>
          <w:numId w:val="15"/>
        </w:numPr>
        <w:spacing w:after="0"/>
        <w:rPr>
          <w:b/>
          <w:bCs/>
        </w:rPr>
      </w:pPr>
      <w:r w:rsidRPr="00975F57">
        <w:rPr>
          <w:b/>
          <w:bCs/>
        </w:rPr>
        <w:t>Integrated Talent Buyout Strategy</w:t>
      </w:r>
    </w:p>
    <w:p w14:paraId="0C74E707" w14:textId="77777777" w:rsidR="00007F40" w:rsidRDefault="00007F40" w:rsidP="00007F40">
      <w:r>
        <w:t>Recognizing the bank’s ongoing corporate reorganization and need to build an internal cloud governance practice, 3HUE proposed a buyout option for ITC resources. This allowed the bank to:</w:t>
      </w:r>
    </w:p>
    <w:p w14:paraId="69ACC74E" w14:textId="77777777" w:rsidR="00007F40" w:rsidRDefault="00007F40" w:rsidP="00975F57">
      <w:pPr>
        <w:pStyle w:val="ListParagraph"/>
        <w:numPr>
          <w:ilvl w:val="0"/>
          <w:numId w:val="9"/>
        </w:numPr>
      </w:pPr>
      <w:r>
        <w:t>Hire top-performing ITC contractors as permanent employees, ensuring continuity and retaining critical knowledge.</w:t>
      </w:r>
    </w:p>
    <w:p w14:paraId="2466E31D" w14:textId="77777777" w:rsidR="00007F40" w:rsidRDefault="00007F40" w:rsidP="00975F57">
      <w:pPr>
        <w:pStyle w:val="ListParagraph"/>
        <w:numPr>
          <w:ilvl w:val="0"/>
          <w:numId w:val="9"/>
        </w:numPr>
      </w:pPr>
      <w:r>
        <w:t>Quickly build a new internal cloud governance team aligned with the bank’s strategic objectives.</w:t>
      </w:r>
    </w:p>
    <w:p w14:paraId="5CE22867" w14:textId="77777777" w:rsidR="00975F57" w:rsidRDefault="00975F57" w:rsidP="00975F57"/>
    <w:p w14:paraId="1A2398F8" w14:textId="77777777" w:rsidR="00007F40" w:rsidRPr="00975F57" w:rsidRDefault="00007F40" w:rsidP="00975F57">
      <w:pPr>
        <w:pStyle w:val="Heading1"/>
        <w:rPr>
          <w:b/>
          <w:bCs/>
          <w:sz w:val="28"/>
          <w:szCs w:val="28"/>
        </w:rPr>
      </w:pPr>
      <w:r w:rsidRPr="00975F57">
        <w:rPr>
          <w:b/>
          <w:bCs/>
          <w:sz w:val="28"/>
          <w:szCs w:val="28"/>
        </w:rPr>
        <w:t>Results &amp; Outcomes</w:t>
      </w:r>
    </w:p>
    <w:p w14:paraId="1843D332" w14:textId="21AD4C59" w:rsidR="00007F40" w:rsidRDefault="00007F40" w:rsidP="00130A58">
      <w:pPr>
        <w:pStyle w:val="ListParagraph"/>
        <w:numPr>
          <w:ilvl w:val="0"/>
          <w:numId w:val="9"/>
        </w:numPr>
      </w:pPr>
      <w:r>
        <w:t>Certification of 1,000+ Systems Within 12 Months:</w:t>
      </w:r>
      <w:r w:rsidR="00130A58">
        <w:t xml:space="preserve"> </w:t>
      </w:r>
      <w:r>
        <w:t>The 3HUE-led initiative successfully assessed and certified all systems under the tight regulatory deadline, despite the lost time from previous consultancy failures.</w:t>
      </w:r>
    </w:p>
    <w:p w14:paraId="5087065E" w14:textId="63C5EB00" w:rsidR="00007F40" w:rsidRDefault="00007F40" w:rsidP="00130A58">
      <w:pPr>
        <w:pStyle w:val="ListParagraph"/>
        <w:numPr>
          <w:ilvl w:val="0"/>
          <w:numId w:val="9"/>
        </w:numPr>
      </w:pPr>
      <w:r>
        <w:t>Development of a Scalable Cloud Governance Framework:</w:t>
      </w:r>
      <w:r w:rsidR="00130A58">
        <w:t xml:space="preserve"> </w:t>
      </w:r>
      <w:r>
        <w:t>The custom GRC framework developed by 3HUE became the blueprint for the bank’s continuous cloud governance oversight, ensuring long-term compliance and risk management.</w:t>
      </w:r>
    </w:p>
    <w:p w14:paraId="2200804A" w14:textId="1AAC7864" w:rsidR="00007F40" w:rsidRDefault="00007F40" w:rsidP="00130A58">
      <w:pPr>
        <w:pStyle w:val="ListParagraph"/>
        <w:numPr>
          <w:ilvl w:val="0"/>
          <w:numId w:val="9"/>
        </w:numPr>
      </w:pPr>
      <w:r>
        <w:t>Successful Talent Integration &amp; Organizational Growth:</w:t>
      </w:r>
      <w:r w:rsidR="00130A58">
        <w:t xml:space="preserve"> </w:t>
      </w:r>
      <w:r>
        <w:t>The buyout strategy allowed the bank to seamlessly integrate ITC resources into its permanent workforce, strengthening its internal capabilities during a critical reorganization phase.</w:t>
      </w:r>
    </w:p>
    <w:p w14:paraId="3746E968" w14:textId="5AE6F0C4" w:rsidR="00007F40" w:rsidRDefault="00007F40" w:rsidP="00130A58">
      <w:pPr>
        <w:pStyle w:val="ListParagraph"/>
        <w:numPr>
          <w:ilvl w:val="0"/>
          <w:numId w:val="9"/>
        </w:numPr>
      </w:pPr>
      <w:r>
        <w:t>Replicable Success Across Business Units:</w:t>
      </w:r>
      <w:r w:rsidR="00130A58">
        <w:t xml:space="preserve"> </w:t>
      </w:r>
      <w:r>
        <w:t>The success of this project prompted the bank to adopt the 3HUE framework across other business practices, making it a cornerstone of their broader corporate transformation.</w:t>
      </w:r>
    </w:p>
    <w:p w14:paraId="455FC107" w14:textId="55D94520" w:rsidR="00007F40" w:rsidRDefault="00007F40" w:rsidP="00130A58">
      <w:pPr>
        <w:pStyle w:val="ListParagraph"/>
        <w:numPr>
          <w:ilvl w:val="0"/>
          <w:numId w:val="9"/>
        </w:numPr>
      </w:pPr>
      <w:r>
        <w:t>Recognition of 3HUE's Expertise:</w:t>
      </w:r>
      <w:r w:rsidR="00130A58">
        <w:t xml:space="preserve"> </w:t>
      </w:r>
      <w:r>
        <w:t>This engagement reinforced 3HUE’s reputation as a leading expert in Information GRC assessment and management, demonstrating the ability to adapt to complex challenges and deliver innovative solutions.</w:t>
      </w:r>
    </w:p>
    <w:p w14:paraId="280037E3" w14:textId="77777777" w:rsidR="00007F40" w:rsidRPr="00130A58" w:rsidRDefault="00007F40" w:rsidP="00130A58">
      <w:pPr>
        <w:pStyle w:val="Heading1"/>
        <w:rPr>
          <w:b/>
          <w:bCs/>
          <w:sz w:val="28"/>
          <w:szCs w:val="28"/>
        </w:rPr>
      </w:pPr>
      <w:r w:rsidRPr="00130A58">
        <w:rPr>
          <w:b/>
          <w:bCs/>
          <w:sz w:val="28"/>
          <w:szCs w:val="28"/>
        </w:rPr>
        <w:lastRenderedPageBreak/>
        <w:t>Key Success Factors</w:t>
      </w:r>
    </w:p>
    <w:p w14:paraId="48E305D0" w14:textId="7EBCABC5" w:rsidR="00007F40" w:rsidRDefault="00007F40" w:rsidP="00130A58">
      <w:pPr>
        <w:pStyle w:val="ListParagraph"/>
        <w:numPr>
          <w:ilvl w:val="0"/>
          <w:numId w:val="9"/>
        </w:numPr>
      </w:pPr>
      <w:r>
        <w:t>Trusted Executive Relationships:</w:t>
      </w:r>
      <w:r w:rsidR="00130A58">
        <w:t xml:space="preserve"> </w:t>
      </w:r>
      <w:r>
        <w:t>Long-standing relationships with senior bank executives enabled seamless collaboration and trust, essential for navigating such a high-stakes initiative.</w:t>
      </w:r>
    </w:p>
    <w:p w14:paraId="256BB937" w14:textId="7513B54D" w:rsidR="00007F40" w:rsidRDefault="00007F40" w:rsidP="00130A58">
      <w:pPr>
        <w:pStyle w:val="ListParagraph"/>
        <w:numPr>
          <w:ilvl w:val="0"/>
          <w:numId w:val="9"/>
        </w:numPr>
      </w:pPr>
      <w:r>
        <w:t>Elite GRC Tiger Team:</w:t>
      </w:r>
      <w:r w:rsidR="00130A58">
        <w:t xml:space="preserve"> </w:t>
      </w:r>
      <w:r>
        <w:t>The formation of a specialized team of senior consultants ensured that the strategy was both comprehensive and actionable.</w:t>
      </w:r>
    </w:p>
    <w:p w14:paraId="4CE9BF0D" w14:textId="4F26604C" w:rsidR="00007F40" w:rsidRDefault="005E1CA8" w:rsidP="00130A58">
      <w:pPr>
        <w:pStyle w:val="ListParagraph"/>
        <w:numPr>
          <w:ilvl w:val="0"/>
          <w:numId w:val="9"/>
        </w:numPr>
      </w:pPr>
      <w:r>
        <w:t>Innovative</w:t>
      </w:r>
      <w:r w:rsidR="00007F40">
        <w:t xml:space="preserve"> Custom Frameworks:</w:t>
      </w:r>
      <w:r w:rsidR="00130A58">
        <w:t xml:space="preserve"> </w:t>
      </w:r>
      <w:r w:rsidR="00007F40">
        <w:t>3HUE’s ability to design a tailored assessment framework provided the structure needed to manage a complex, global project efficiently.</w:t>
      </w:r>
    </w:p>
    <w:p w14:paraId="34708CAB" w14:textId="3CFB6F1F" w:rsidR="00007F40" w:rsidRDefault="00007F40" w:rsidP="00130A58">
      <w:pPr>
        <w:pStyle w:val="ListParagraph"/>
        <w:numPr>
          <w:ilvl w:val="0"/>
          <w:numId w:val="9"/>
        </w:numPr>
      </w:pPr>
      <w:r>
        <w:t>Flexible Talent Management:</w:t>
      </w:r>
      <w:r w:rsidR="00130A58">
        <w:t xml:space="preserve"> </w:t>
      </w:r>
      <w:r>
        <w:t>The ITC sourcing and buyout strategy provided a unique, adaptable approach to talent management that supported both immediate project goals and long-term organizational growth.</w:t>
      </w:r>
    </w:p>
    <w:p w14:paraId="662C0C6A" w14:textId="78EA925D" w:rsidR="00007F40" w:rsidRDefault="00007F40" w:rsidP="00130A58">
      <w:pPr>
        <w:pStyle w:val="ListParagraph"/>
        <w:numPr>
          <w:ilvl w:val="0"/>
          <w:numId w:val="9"/>
        </w:numPr>
      </w:pPr>
      <w:r>
        <w:t>Collaborative Partnerships:</w:t>
      </w:r>
      <w:r w:rsidR="00130A58">
        <w:t xml:space="preserve"> </w:t>
      </w:r>
      <w:r>
        <w:t>Working in tandem with large consulting partners, 3HUE demonstrated a collaborative spirit that ensured all stakeholders were aligned towards success.</w:t>
      </w:r>
    </w:p>
    <w:p w14:paraId="6F86DF14" w14:textId="77777777" w:rsidR="00007F40" w:rsidRPr="00130A58" w:rsidRDefault="00007F40" w:rsidP="00130A58">
      <w:pPr>
        <w:pStyle w:val="Heading1"/>
        <w:rPr>
          <w:b/>
          <w:bCs/>
          <w:sz w:val="28"/>
          <w:szCs w:val="28"/>
        </w:rPr>
      </w:pPr>
      <w:r w:rsidRPr="00130A58">
        <w:rPr>
          <w:b/>
          <w:bCs/>
          <w:sz w:val="28"/>
          <w:szCs w:val="28"/>
        </w:rPr>
        <w:t>Conclusion</w:t>
      </w:r>
    </w:p>
    <w:p w14:paraId="242904DE" w14:textId="77777777" w:rsidR="00007F40" w:rsidRDefault="00007F40" w:rsidP="00007F40">
      <w:r>
        <w:t>This engagement stands as a testament to 3HUE’s unmatched expertise in Governance, Risk, and Compliance (GRC) and cloud governance strategy. By adapting to challenges, innovating solutions, and leveraging the right talent, 3HUE not only delivered on an immensely complex project but also helped reshape the internal practices of one of North America’s largest banking institutions.</w:t>
      </w:r>
    </w:p>
    <w:p w14:paraId="6A88C7D1" w14:textId="79323176" w:rsidR="00481528" w:rsidRPr="00007F40" w:rsidRDefault="00007F40" w:rsidP="00007F40">
      <w:r>
        <w:t>The success of this initiative continues to influence the bank’s broader corporate reorganization efforts, proving that with the right strategy and execution, even the most complex challenges can be transformed into opportunities for growth and excellence.</w:t>
      </w:r>
    </w:p>
    <w:sectPr w:rsidR="00481528" w:rsidRPr="00007F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3E91"/>
    <w:multiLevelType w:val="hybridMultilevel"/>
    <w:tmpl w:val="F89285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F413E3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6D35346"/>
    <w:multiLevelType w:val="hybridMultilevel"/>
    <w:tmpl w:val="F882379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79EE6503"/>
    <w:multiLevelType w:val="hybridMultilevel"/>
    <w:tmpl w:val="F88237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23825782">
    <w:abstractNumId w:val="1"/>
  </w:num>
  <w:num w:numId="2" w16cid:durableId="1408570377">
    <w:abstractNumId w:val="1"/>
  </w:num>
  <w:num w:numId="3" w16cid:durableId="1583099770">
    <w:abstractNumId w:val="1"/>
  </w:num>
  <w:num w:numId="4" w16cid:durableId="2011442957">
    <w:abstractNumId w:val="1"/>
  </w:num>
  <w:num w:numId="5" w16cid:durableId="1776900300">
    <w:abstractNumId w:val="1"/>
  </w:num>
  <w:num w:numId="6" w16cid:durableId="1000737615">
    <w:abstractNumId w:val="1"/>
  </w:num>
  <w:num w:numId="7" w16cid:durableId="111941464">
    <w:abstractNumId w:val="1"/>
  </w:num>
  <w:num w:numId="8" w16cid:durableId="202444190">
    <w:abstractNumId w:val="3"/>
  </w:num>
  <w:num w:numId="9" w16cid:durableId="2120025784">
    <w:abstractNumId w:val="0"/>
  </w:num>
  <w:num w:numId="10" w16cid:durableId="1381249812">
    <w:abstractNumId w:val="1"/>
  </w:num>
  <w:num w:numId="11" w16cid:durableId="1230265940">
    <w:abstractNumId w:val="1"/>
  </w:num>
  <w:num w:numId="12" w16cid:durableId="451703963">
    <w:abstractNumId w:val="1"/>
  </w:num>
  <w:num w:numId="13" w16cid:durableId="5699274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26079218">
    <w:abstractNumId w:val="1"/>
  </w:num>
  <w:num w:numId="15" w16cid:durableId="18970875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644"/>
    <w:rsid w:val="00007F40"/>
    <w:rsid w:val="0001454F"/>
    <w:rsid w:val="00073644"/>
    <w:rsid w:val="000B2A8D"/>
    <w:rsid w:val="00130A58"/>
    <w:rsid w:val="00164D4A"/>
    <w:rsid w:val="00457A66"/>
    <w:rsid w:val="00481528"/>
    <w:rsid w:val="00527B26"/>
    <w:rsid w:val="005A5A2F"/>
    <w:rsid w:val="005E1CA8"/>
    <w:rsid w:val="00612BA9"/>
    <w:rsid w:val="006F4DEA"/>
    <w:rsid w:val="007B6280"/>
    <w:rsid w:val="007F2503"/>
    <w:rsid w:val="00863673"/>
    <w:rsid w:val="008A299B"/>
    <w:rsid w:val="008A726C"/>
    <w:rsid w:val="0093776A"/>
    <w:rsid w:val="00975F57"/>
    <w:rsid w:val="009E1161"/>
    <w:rsid w:val="00D21C0B"/>
    <w:rsid w:val="00D44288"/>
    <w:rsid w:val="00D50155"/>
    <w:rsid w:val="00DB2504"/>
    <w:rsid w:val="00EC5B18"/>
    <w:rsid w:val="00FF70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A01E9"/>
  <w15:chartTrackingRefBased/>
  <w15:docId w15:val="{8FE74C4E-F363-43B8-AD61-FF563B5DB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644"/>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3644"/>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644"/>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644"/>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644"/>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644"/>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644"/>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644"/>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644"/>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6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36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6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6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6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644"/>
    <w:rPr>
      <w:rFonts w:eastAsiaTheme="majorEastAsia" w:cstheme="majorBidi"/>
      <w:color w:val="272727" w:themeColor="text1" w:themeTint="D8"/>
    </w:rPr>
  </w:style>
  <w:style w:type="paragraph" w:styleId="Title">
    <w:name w:val="Title"/>
    <w:basedOn w:val="Normal"/>
    <w:next w:val="Normal"/>
    <w:link w:val="TitleChar"/>
    <w:uiPriority w:val="10"/>
    <w:qFormat/>
    <w:rsid w:val="00073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6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644"/>
    <w:pPr>
      <w:spacing w:before="160"/>
      <w:jc w:val="center"/>
    </w:pPr>
    <w:rPr>
      <w:i/>
      <w:iCs/>
      <w:color w:val="404040" w:themeColor="text1" w:themeTint="BF"/>
    </w:rPr>
  </w:style>
  <w:style w:type="character" w:customStyle="1" w:styleId="QuoteChar">
    <w:name w:val="Quote Char"/>
    <w:basedOn w:val="DefaultParagraphFont"/>
    <w:link w:val="Quote"/>
    <w:uiPriority w:val="29"/>
    <w:rsid w:val="00073644"/>
    <w:rPr>
      <w:i/>
      <w:iCs/>
      <w:color w:val="404040" w:themeColor="text1" w:themeTint="BF"/>
    </w:rPr>
  </w:style>
  <w:style w:type="paragraph" w:styleId="ListParagraph">
    <w:name w:val="List Paragraph"/>
    <w:basedOn w:val="Normal"/>
    <w:uiPriority w:val="34"/>
    <w:qFormat/>
    <w:rsid w:val="00073644"/>
    <w:pPr>
      <w:ind w:left="720"/>
      <w:contextualSpacing/>
    </w:pPr>
  </w:style>
  <w:style w:type="character" w:styleId="IntenseEmphasis">
    <w:name w:val="Intense Emphasis"/>
    <w:basedOn w:val="DefaultParagraphFont"/>
    <w:uiPriority w:val="21"/>
    <w:qFormat/>
    <w:rsid w:val="00073644"/>
    <w:rPr>
      <w:i/>
      <w:iCs/>
      <w:color w:val="0F4761" w:themeColor="accent1" w:themeShade="BF"/>
    </w:rPr>
  </w:style>
  <w:style w:type="paragraph" w:styleId="IntenseQuote">
    <w:name w:val="Intense Quote"/>
    <w:basedOn w:val="Normal"/>
    <w:next w:val="Normal"/>
    <w:link w:val="IntenseQuoteChar"/>
    <w:uiPriority w:val="30"/>
    <w:qFormat/>
    <w:rsid w:val="000736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644"/>
    <w:rPr>
      <w:i/>
      <w:iCs/>
      <w:color w:val="0F4761" w:themeColor="accent1" w:themeShade="BF"/>
    </w:rPr>
  </w:style>
  <w:style w:type="character" w:styleId="IntenseReference">
    <w:name w:val="Intense Reference"/>
    <w:basedOn w:val="DefaultParagraphFont"/>
    <w:uiPriority w:val="32"/>
    <w:qFormat/>
    <w:rsid w:val="000736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94CBE9D7E37349811EEDC559E1D711" ma:contentTypeVersion="17" ma:contentTypeDescription="Create a new document." ma:contentTypeScope="" ma:versionID="c3644bac6e7170baf77fc7c2ac458d93">
  <xsd:schema xmlns:xsd="http://www.w3.org/2001/XMLSchema" xmlns:xs="http://www.w3.org/2001/XMLSchema" xmlns:p="http://schemas.microsoft.com/office/2006/metadata/properties" xmlns:ns2="5a4392dc-75f1-447e-ba42-ba48e4b9d8ad" xmlns:ns3="3e198819-40ec-498f-9629-eeace3fc302a" targetNamespace="http://schemas.microsoft.com/office/2006/metadata/properties" ma:root="true" ma:fieldsID="439ab8cdfb957f310508cf5c435b85b6" ns2:_="" ns3:_="">
    <xsd:import namespace="5a4392dc-75f1-447e-ba42-ba48e4b9d8ad"/>
    <xsd:import namespace="3e198819-40ec-498f-9629-eeace3fc302a"/>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4392dc-75f1-447e-ba42-ba48e4b9d8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f841cc8-99dc-4e6d-b0a4-8df9b8d6e8c6"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e198819-40ec-498f-9629-eeace3fc302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875e1d0-4045-48c0-96f6-d5b1ae93da9e}" ma:internalName="TaxCatchAll" ma:showField="CatchAllData" ma:web="3e198819-40ec-498f-9629-eeace3fc30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e198819-40ec-498f-9629-eeace3fc302a" xsi:nil="true"/>
    <lcf76f155ced4ddcb4097134ff3c332f xmlns="5a4392dc-75f1-447e-ba42-ba48e4b9d8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1F2DDFE-B6A0-4B31-BE58-31F10839CB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4392dc-75f1-447e-ba42-ba48e4b9d8ad"/>
    <ds:schemaRef ds:uri="3e198819-40ec-498f-9629-eeace3fc30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8F2BE8-E755-498F-BC8F-2043CB97F7B4}">
  <ds:schemaRefs>
    <ds:schemaRef ds:uri="http://schemas.microsoft.com/sharepoint/v3/contenttype/forms"/>
  </ds:schemaRefs>
</ds:datastoreItem>
</file>

<file path=customXml/itemProps3.xml><?xml version="1.0" encoding="utf-8"?>
<ds:datastoreItem xmlns:ds="http://schemas.openxmlformats.org/officeDocument/2006/customXml" ds:itemID="{977BC304-3C52-4D9A-943F-3F3FDB6BFD6C}">
  <ds:schemaRefs>
    <ds:schemaRef ds:uri="http://schemas.microsoft.com/office/2006/metadata/properties"/>
    <ds:schemaRef ds:uri="http://schemas.microsoft.com/office/infopath/2007/PartnerControls"/>
    <ds:schemaRef ds:uri="3e198819-40ec-498f-9629-eeace3fc302a"/>
    <ds:schemaRef ds:uri="5a4392dc-75f1-447e-ba42-ba48e4b9d8ad"/>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4</Pages>
  <Words>1023</Words>
  <Characters>5833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Ramirez</dc:creator>
  <cp:keywords/>
  <dc:description/>
  <cp:lastModifiedBy>Andrew Ramirez</cp:lastModifiedBy>
  <cp:revision>22</cp:revision>
  <cp:lastPrinted>2025-02-11T20:14:00Z</cp:lastPrinted>
  <dcterms:created xsi:type="dcterms:W3CDTF">2025-02-11T15:20:00Z</dcterms:created>
  <dcterms:modified xsi:type="dcterms:W3CDTF">2025-02-14T01:02:00Z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0x010100B594CBE9D7E37349811EEDC559E1D711</vt:lpwstr>
  </property>
  <property fmtid="{D5CDD505-2E9C-101B-9397-08002B2CF9AE}" pid="3" name="MediaServiceImageTags">
    <vt:lpwstr/>
  </property>
</Properties>
</file>