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ind w:left="360" w:firstLine="0"/>
        <w:jc w:val="center"/>
        <w:rPr>
          <w:b w:val="1"/>
          <w:bCs w:val="1"/>
          <w:sz w:val="54"/>
          <w:szCs w:val="54"/>
        </w:rPr>
      </w:pPr>
      <w:r w:rsidDel="00000000" w:rsidR="00000000" w:rsidRPr="00000000">
        <w:rPr>
          <w:b w:val="1"/>
          <w:bCs w:val="1"/>
          <w:sz w:val="54"/>
          <w:szCs w:val="54"/>
          <w:rtl w:val="0"/>
        </w:rPr>
        <w:t xml:space="preserve">Reflexión 1. Caso Empresarial Real: </w:t>
      </w:r>
    </w:p>
    <w:p w:rsidR="00000000" w:rsidDel="00000000" w:rsidP="00000000" w:rsidRDefault="00000000" w:rsidRPr="00000000" w14:paraId="00000002">
      <w:pPr>
        <w:spacing w:line="360" w:lineRule="auto"/>
        <w:ind w:left="360" w:firstLine="0"/>
        <w:jc w:val="center"/>
        <w:rPr>
          <w:b w:val="1"/>
          <w:bCs w:val="1"/>
          <w:sz w:val="54"/>
          <w:szCs w:val="54"/>
        </w:rPr>
      </w:pPr>
      <w:r w:rsidDel="00000000" w:rsidR="00000000" w:rsidRPr="00000000">
        <w:rPr>
          <w:color w:val="1f1f1f"/>
          <w:sz w:val="54"/>
          <w:szCs w:val="54"/>
          <w:rtl w:val="0"/>
        </w:rPr>
        <w:t xml:space="preserve">NHS - Connecting for Health</w:t>
      </w:r>
      <w:r w:rsidDel="00000000" w:rsidR="00000000" w:rsidRPr="00000000">
        <w:rPr>
          <w:rtl w:val="0"/>
        </w:rPr>
      </w:r>
    </w:p>
    <w:p w:rsidR="00000000" w:rsidDel="00000000" w:rsidP="00000000" w:rsidRDefault="00000000" w:rsidRPr="00000000" w14:paraId="00000003">
      <w:pPr>
        <w:spacing w:line="360" w:lineRule="auto"/>
        <w:ind w:left="360" w:firstLine="0"/>
        <w:jc w:val="center"/>
        <w:rPr>
          <w:sz w:val="24"/>
          <w:szCs w:val="24"/>
        </w:rPr>
      </w:pPr>
      <w:r w:rsidDel="00000000" w:rsidR="00000000" w:rsidRPr="00000000">
        <w:rPr>
          <w:i w:val="1"/>
          <w:iCs w:val="1"/>
          <w:sz w:val="28"/>
          <w:szCs w:val="28"/>
          <w:rtl w:val="0"/>
        </w:rPr>
        <w:t xml:space="preserve">“</w:t>
      </w:r>
      <w:r w:rsidDel="00000000" w:rsidR="00000000" w:rsidRPr="00000000">
        <w:rPr>
          <w:i w:val="1"/>
          <w:iCs w:val="1"/>
          <w:sz w:val="28"/>
          <w:szCs w:val="28"/>
          <w:rtl w:val="0"/>
        </w:rPr>
        <w:t xml:space="preserve">El colapso de los servicios de salud del Reino Unido”</w:t>
      </w:r>
      <w:r w:rsidDel="00000000" w:rsidR="00000000" w:rsidRPr="00000000">
        <w:rPr>
          <w:rtl w:val="0"/>
        </w:rPr>
      </w:r>
    </w:p>
    <w:p w:rsidR="00000000" w:rsidDel="00000000" w:rsidP="00000000" w:rsidRDefault="00000000" w:rsidRPr="00000000" w14:paraId="00000004">
      <w:pPr>
        <w:spacing w:line="360" w:lineRule="auto"/>
        <w:ind w:left="1080" w:hanging="360"/>
        <w:jc w:val="both"/>
        <w:rPr>
          <w:sz w:val="24"/>
          <w:szCs w:val="24"/>
        </w:rPr>
      </w:pPr>
      <w:r w:rsidDel="00000000" w:rsidR="00000000" w:rsidRPr="00000000">
        <w:rPr>
          <w:rtl w:val="0"/>
        </w:rPr>
      </w:r>
    </w:p>
    <w:p w:rsidR="00000000" w:rsidDel="00000000" w:rsidP="00000000" w:rsidRDefault="00000000" w:rsidRPr="00000000" w14:paraId="00000005">
      <w:pPr>
        <w:spacing w:line="360" w:lineRule="auto"/>
        <w:ind w:left="1080" w:hanging="360"/>
        <w:jc w:val="both"/>
        <w:rPr>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6767211" cy="369453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67211" cy="369453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PRESENTACIÓN</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spacing w:line="360" w:lineRule="auto"/>
        <w:ind w:left="360" w:firstLine="2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Estimado Aprendiz, en el ciclo de vida del desarrollo de software, la transición entre el análisis de requisitos y la codificación es crítica. Un diseño estructural deficiente puede elevar los costos de mantenimiento. Por lo anterior, en el mundo del desarrollo de software, garantizar la calidad de los </w:t>
      </w:r>
      <w:r w:rsidDel="00000000" w:rsidR="00000000" w:rsidRPr="00000000">
        <w:rPr>
          <w:rFonts w:ascii="Calibri" w:cs="Calibri" w:eastAsia="Calibri" w:hAnsi="Calibri"/>
          <w:b w:val="1"/>
          <w:bCs w:val="1"/>
          <w:color w:val="ff0000"/>
          <w:sz w:val="24"/>
          <w:szCs w:val="24"/>
          <w:rtl w:val="0"/>
        </w:rPr>
        <w:t xml:space="preserve">artefactos </w:t>
      </w:r>
      <w:r w:rsidDel="00000000" w:rsidR="00000000" w:rsidRPr="00000000">
        <w:rPr>
          <w:rFonts w:ascii="Calibri" w:cs="Calibri" w:eastAsia="Calibri" w:hAnsi="Calibri"/>
          <w:sz w:val="24"/>
          <w:szCs w:val="24"/>
          <w:rtl w:val="0"/>
        </w:rPr>
        <w:t xml:space="preserve">de diseño es tan importante como producirlos.</w:t>
      </w:r>
    </w:p>
    <w:p w:rsidR="00000000" w:rsidDel="00000000" w:rsidP="00000000" w:rsidRDefault="00000000" w:rsidRPr="00000000" w14:paraId="0000000A">
      <w:pPr>
        <w:spacing w:line="360" w:lineRule="auto"/>
        <w:ind w:left="360" w:firstLine="24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360" w:lineRule="auto"/>
        <w:ind w:left="360" w:firstLine="2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sistema bien concebido pero pobremente documentado o con artefactos que no cumplen los requisitos puede derivar en costosos errores durante la implementación. Esta guía propone que el aprendiz asuma el rol activo de evaluador técnico, desarrollando la capacidad crítica de verificar, detectar inconsistencias y proponer mejoras a los entregables del diseño de software.</w:t>
      </w:r>
    </w:p>
    <w:p w:rsidR="00000000" w:rsidDel="00000000" w:rsidP="00000000" w:rsidRDefault="00000000" w:rsidRPr="00000000" w14:paraId="0000000C">
      <w:pPr>
        <w:spacing w:line="360" w:lineRule="auto"/>
        <w:ind w:left="360" w:firstLine="24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360" w:lineRule="auto"/>
        <w:ind w:left="360" w:firstLine="2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modo que, podamos desarrollar habilidades necesarias en la evaluación de artefactos de software, asegurando principios fundamentales como el bajo acoplamiento y la alta cohesión. A través de técnicas como la inspección y la revisión de informes técnicos, usted aprenderá a aplicar de manera sistemática listas de chequeo institucionales.</w:t>
      </w:r>
    </w:p>
    <w:p w:rsidR="00000000" w:rsidDel="00000000" w:rsidP="00000000" w:rsidRDefault="00000000" w:rsidRPr="00000000" w14:paraId="0000000E">
      <w:pPr>
        <w:spacing w:line="360" w:lineRule="auto"/>
        <w:ind w:left="360" w:firstLine="2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F">
      <w:pPr>
        <w:spacing w:after="200" w:line="360" w:lineRule="auto"/>
        <w:ind w:left="360" w:firstLine="2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se promoverá de manera transversal el uso de la Inteligencia Artificial (IA) como herramienta aliada de automatización en la auditoría de arquitecturas de software. Lo invitamos a abordar de forma colaborativa, ética y autónoma las actividades planteadas para transformar los desafíos técnicos de la ingeniería de software en soluciones de calidad industrial global. ¡Mucho éxito en su proceso formativo!</w:t>
      </w:r>
      <w:r w:rsidDel="00000000" w:rsidR="00000000" w:rsidRPr="00000000">
        <w:br w:type="page"/>
      </w:r>
      <w:r w:rsidDel="00000000" w:rsidR="00000000" w:rsidRPr="00000000">
        <w:rPr>
          <w:rtl w:val="0"/>
        </w:rPr>
      </w:r>
    </w:p>
    <w:p w:rsidR="00000000" w:rsidDel="00000000" w:rsidP="00000000" w:rsidRDefault="00000000" w:rsidRPr="00000000" w14:paraId="00000010">
      <w:pPr>
        <w:spacing w:line="360" w:lineRule="auto"/>
        <w:ind w:left="36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w:t>
      </w:r>
      <w:hyperlink r:id="rId7">
        <w:r w:rsidDel="00000000" w:rsidR="00000000" w:rsidRPr="00000000">
          <w:rPr>
            <w:rFonts w:ascii="Calibri" w:cs="Calibri" w:eastAsia="Calibri" w:hAnsi="Calibri"/>
            <w:b w:val="1"/>
            <w:bCs w:val="1"/>
            <w:color w:val="0000ee"/>
            <w:u w:val="single"/>
            <w:rtl w:val="0"/>
          </w:rPr>
          <w:t xml:space="preserve">Reflexión inicial - NHS_Connecting for Health_Servicios de salud del Reino Unido.docx</w:t>
        </w:r>
      </w:hyperlink>
      <w:r w:rsidDel="00000000" w:rsidR="00000000" w:rsidRPr="00000000">
        <w:rPr>
          <w:rtl w:val="0"/>
        </w:rPr>
      </w:r>
    </w:p>
    <w:p w:rsidR="00000000" w:rsidDel="00000000" w:rsidP="00000000" w:rsidRDefault="00000000" w:rsidRPr="00000000" w14:paraId="00000011">
      <w:pPr>
        <w:spacing w:line="360" w:lineRule="auto"/>
        <w:ind w:left="36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spacing w:line="360" w:lineRule="auto"/>
        <w:ind w:left="360" w:firstLine="0"/>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Reflexión 1. </w:t>
      </w:r>
      <w:r w:rsidDel="00000000" w:rsidR="00000000" w:rsidRPr="00000000">
        <w:rPr>
          <w:rFonts w:ascii="Calibri" w:cs="Calibri" w:eastAsia="Calibri" w:hAnsi="Calibri"/>
          <w:b w:val="1"/>
          <w:bCs w:val="1"/>
          <w:rtl w:val="0"/>
        </w:rPr>
        <w:t xml:space="preserve">Caso Empresarial Real Documentado: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El colapso de los servicios de salud del Reino Unido (NHS - Connecting for Health).</w:t>
      </w:r>
    </w:p>
    <w:p w:rsidR="00000000" w:rsidDel="00000000" w:rsidP="00000000" w:rsidRDefault="00000000" w:rsidRPr="00000000" w14:paraId="00000013">
      <w:pPr>
        <w:spacing w:line="360" w:lineRule="auto"/>
        <w:ind w:left="36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05100" cy="1663700"/>
            <wp:effectExtent b="0" l="0" r="0" t="0"/>
            <wp:docPr descr="IMG_256" id="2" name="image2.jpg"/>
            <a:graphic>
              <a:graphicData uri="http://schemas.openxmlformats.org/drawingml/2006/picture">
                <pic:pic>
                  <pic:nvPicPr>
                    <pic:cNvPr descr="IMG_256" id="0" name="image2.jpg"/>
                    <pic:cNvPicPr preferRelativeResize="0"/>
                  </pic:nvPicPr>
                  <pic:blipFill>
                    <a:blip r:embed="rId8"/>
                    <a:srcRect b="0" l="0" r="0" t="0"/>
                    <a:stretch>
                      <a:fillRect/>
                    </a:stretch>
                  </pic:blipFill>
                  <pic:spPr>
                    <a:xfrm>
                      <a:off x="0" y="0"/>
                      <a:ext cx="27051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36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5">
      <w:pPr>
        <w:spacing w:line="360" w:lineRule="auto"/>
        <w:ind w:left="360" w:firstLine="340"/>
        <w:jc w:val="both"/>
        <w:rPr>
          <w:rFonts w:ascii="Calibri" w:cs="Calibri" w:eastAsia="Calibri" w:hAnsi="Calibri"/>
        </w:rPr>
      </w:pPr>
      <w:r w:rsidDel="00000000" w:rsidR="00000000" w:rsidRPr="00000000">
        <w:rPr>
          <w:rFonts w:ascii="Calibri" w:cs="Calibri" w:eastAsia="Calibri" w:hAnsi="Calibri"/>
          <w:rtl w:val="0"/>
        </w:rPr>
        <w:t xml:space="preserve">En 2011, el gobierno británico canceló el proyecto de unificación de historias clínicas electrónicas tras una inversión de más de £12.000 millones de libras. Las auditorías técnicas concluyeron que el fracaso estructural se debió a la falta de verificación de los artefactos de diseño frente a los requisitos de análisis originales. El sistema presentaba un acoplamiento extremo entre módulos regionales y bases de datos centralizadas, lo que impidió su escalabilidad y provocó fallas críticas en la sincronización de datos de millones de pacientes.</w:t>
      </w:r>
    </w:p>
    <w:p w:rsidR="00000000" w:rsidDel="00000000" w:rsidP="00000000" w:rsidRDefault="00000000" w:rsidRPr="00000000" w14:paraId="00000016">
      <w:pPr>
        <w:spacing w:line="360" w:lineRule="auto"/>
        <w:ind w:left="360" w:firstLine="34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7">
      <w:pPr>
        <w:spacing w:line="360" w:lineRule="auto"/>
        <w:ind w:left="36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Descripción de la actividad</w:t>
      </w:r>
      <w:r w:rsidDel="00000000" w:rsidR="00000000" w:rsidRPr="00000000">
        <w:rPr>
          <w:rFonts w:ascii="Calibri" w:cs="Calibri" w:eastAsia="Calibri" w:hAnsi="Calibri"/>
          <w:rtl w:val="0"/>
        </w:rPr>
        <w:t xml:space="preserve">:</w:t>
      </w:r>
    </w:p>
    <w:p w:rsidR="00000000" w:rsidDel="00000000" w:rsidP="00000000" w:rsidRDefault="00000000" w:rsidRPr="00000000" w14:paraId="00000018">
      <w:pPr>
        <w:numPr>
          <w:ilvl w:val="0"/>
          <w:numId w:val="9"/>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 manera individual, realice una lectura analítica del caso del NHS y reflexione frente a los siguientes interrogantes:</w:t>
      </w:r>
    </w:p>
    <w:p w:rsidR="00000000" w:rsidDel="00000000" w:rsidP="00000000" w:rsidRDefault="00000000" w:rsidRPr="00000000" w14:paraId="00000019">
      <w:pPr>
        <w:spacing w:line="360" w:lineRule="auto"/>
        <w:ind w:left="36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libri" w:cs="Calibri" w:eastAsia="Calibri" w:hAnsi="Calibri"/>
        </w:rPr>
      </w:pPr>
      <w:r w:rsidDel="00000000" w:rsidR="00000000" w:rsidRPr="00000000">
        <w:rPr>
          <w:rFonts w:ascii="Calibri" w:cs="Calibri" w:eastAsia="Calibri" w:hAnsi="Calibri"/>
          <w:rtl w:val="0"/>
        </w:rPr>
        <w:t xml:space="preserve">Si</w:t>
      </w:r>
      <w:r w:rsidDel="00000000" w:rsidR="00000000" w:rsidRPr="00000000">
        <w:rPr>
          <w:rFonts w:ascii="Calibri" w:cs="Calibri" w:eastAsia="Calibri" w:hAnsi="Calibri"/>
          <w:rtl w:val="0"/>
        </w:rPr>
        <w:t xml:space="preserve"> se hubiesen aplicado inspecciones de diseño formales antes del desarrollo de código, ¿qué impacto económico y operativo se habría evitado?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libri" w:cs="Calibri" w:eastAsia="Calibri" w:hAnsi="Calibri"/>
        </w:rPr>
      </w:pPr>
      <w:r w:rsidDel="00000000" w:rsidR="00000000" w:rsidRPr="00000000">
        <w:rPr>
          <w:rFonts w:ascii="Calibri" w:cs="Calibri" w:eastAsia="Calibri" w:hAnsi="Calibri"/>
          <w:rtl w:val="0"/>
        </w:rPr>
        <w:t xml:space="preserve">¿Cómo</w:t>
      </w:r>
      <w:r w:rsidDel="00000000" w:rsidR="00000000" w:rsidRPr="00000000">
        <w:rPr>
          <w:rFonts w:ascii="Calibri" w:cs="Calibri" w:eastAsia="Calibri" w:hAnsi="Calibri"/>
          <w:rtl w:val="0"/>
        </w:rPr>
        <w:t xml:space="preserve"> cree que la falta de correspondencia entre el informe de análisis (requisitos) y el modelado de artefactos de diseño afecta al equipo de desarrollo que recibe los planos del sistema?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numPr>
          <w:ilvl w:val="0"/>
          <w:numId w:val="9"/>
        </w:numPr>
        <w:spacing w:after="24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 esta actividad, los aprendices analizarán el caso y posteriormente deben reflexionar sobre las implicaciones éticas, legales y técnicas del uso de herramientas de IA en entornos profesionales, especialmente en el desarrollo de software.</w:t>
      </w:r>
    </w:p>
    <w:p w:rsidR="00000000" w:rsidDel="00000000" w:rsidP="00000000" w:rsidRDefault="00000000" w:rsidRPr="00000000" w14:paraId="0000001F">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La actividad tiene como propósito fortalecer el pensamiento crítico y promover el uso responsable de la Inteligencia Artificial mediante la aplicación del framework </w:t>
      </w:r>
      <w:r w:rsidDel="00000000" w:rsidR="00000000" w:rsidRPr="00000000">
        <w:rPr>
          <w:rFonts w:ascii="Calibri" w:cs="Calibri" w:eastAsia="Calibri" w:hAnsi="Calibri"/>
          <w:b w:val="1"/>
          <w:bCs w:val="1"/>
          <w:i w:val="1"/>
          <w:iCs w:val="1"/>
          <w:rtl w:val="0"/>
        </w:rPr>
        <w:t xml:space="preserve">RCTF (Role, Context, Task, Format)</w:t>
      </w:r>
      <w:r w:rsidDel="00000000" w:rsidR="00000000" w:rsidRPr="00000000">
        <w:rPr>
          <w:rFonts w:ascii="Calibri" w:cs="Calibri" w:eastAsia="Calibri" w:hAnsi="Calibri"/>
          <w:rtl w:val="0"/>
        </w:rPr>
        <w:t xml:space="preserve"> para la construcción de prompts efectivos. </w:t>
      </w:r>
    </w:p>
    <w:p w:rsidR="00000000" w:rsidDel="00000000" w:rsidP="00000000" w:rsidRDefault="00000000" w:rsidRPr="00000000" w14:paraId="00000020">
      <w:pPr>
        <w:spacing w:after="240" w:befor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Los aprendices deben completar la tabla propuesta, integrando un análisis humano, la elaboración de un prompt estructurado, la respuesta generada por la IA y una conclusión personal basada en la reflexión del caso.</w:t>
      </w:r>
    </w:p>
    <w:p w:rsidR="00000000" w:rsidDel="00000000" w:rsidP="00000000" w:rsidRDefault="00000000" w:rsidRPr="00000000" w14:paraId="00000021">
      <w:pPr>
        <w:spacing w:after="240" w:before="240" w:lineRule="auto"/>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240" w:before="240" w:lineRule="auto"/>
        <w:rPr>
          <w:sz w:val="28"/>
          <w:szCs w:val="28"/>
        </w:rPr>
      </w:pPr>
      <w:r w:rsidDel="00000000" w:rsidR="00000000" w:rsidRPr="00000000">
        <w:rPr>
          <w:rFonts w:ascii="Calibri" w:cs="Calibri" w:eastAsia="Calibri" w:hAnsi="Calibri"/>
          <w:b w:val="1"/>
          <w:bCs w:val="1"/>
          <w:rtl w:val="0"/>
        </w:rPr>
        <w:t xml:space="preserve">Prompt: Framework RCTF (Prompt Engineering)</w:t>
      </w:r>
      <w:r w:rsidDel="00000000" w:rsidR="00000000" w:rsidRPr="00000000">
        <w:rPr>
          <w:rtl w:val="0"/>
        </w:rPr>
      </w:r>
    </w:p>
    <w:tbl>
      <w:tblPr>
        <w:tblStyle w:val="Table1"/>
        <w:tblW w:w="1110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8"/>
        <w:tblGridChange w:id="0">
          <w:tblGrid>
            <w:gridCol w:w="11108"/>
          </w:tblGrid>
        </w:tblGridChange>
      </w:tblGrid>
      <w:tr>
        <w:trPr>
          <w:cantSplit w:val="0"/>
          <w:tblHeader w:val="0"/>
        </w:trPr>
        <w:tc>
          <w:tcPr>
            <w:tcBorders>
              <w:top w:color="000000" w:space="0" w:sz="0" w:val="nil"/>
              <w:left w:color="38761d"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both"/>
              <w:rPr>
                <w:sz w:val="16"/>
                <w:szCs w:val="16"/>
              </w:rPr>
            </w:pPr>
            <w:r w:rsidDel="00000000" w:rsidR="00000000" w:rsidRPr="00000000">
              <w:rPr>
                <w:sz w:val="16"/>
                <w:szCs w:val="16"/>
                <w:rtl w:val="0"/>
              </w:rPr>
              <w:t xml:space="preserve">RCTF es un acrónimo utilizado en inteligencia artificial para estructurar prompts (indicaciones) de manera efectiva y obtener respuestas precisas. Significa: </w:t>
            </w:r>
          </w:p>
          <w:p w:rsidR="00000000" w:rsidDel="00000000" w:rsidP="00000000" w:rsidRDefault="00000000" w:rsidRPr="00000000" w14:paraId="00000024">
            <w:pPr>
              <w:numPr>
                <w:ilvl w:val="0"/>
                <w:numId w:val="8"/>
              </w:numPr>
              <w:spacing w:after="0" w:afterAutospacing="0" w:before="240" w:lineRule="auto"/>
              <w:ind w:left="720" w:hanging="360"/>
              <w:jc w:val="both"/>
              <w:rPr>
                <w:sz w:val="16"/>
                <w:szCs w:val="16"/>
              </w:rPr>
            </w:pPr>
            <w:r w:rsidDel="00000000" w:rsidR="00000000" w:rsidRPr="00000000">
              <w:rPr>
                <w:b w:val="1"/>
                <w:bCs w:val="1"/>
                <w:sz w:val="16"/>
                <w:szCs w:val="16"/>
                <w:rtl w:val="0"/>
              </w:rPr>
              <w:t xml:space="preserve">Role (Rol):</w:t>
            </w:r>
            <w:r w:rsidDel="00000000" w:rsidR="00000000" w:rsidRPr="00000000">
              <w:rPr>
                <w:sz w:val="16"/>
                <w:szCs w:val="16"/>
                <w:rtl w:val="0"/>
              </w:rPr>
              <w:t xml:space="preserve"> Asignar un papel a la IA (ej. "Actúa como un programador senior" o "Eres un tutor de biología").</w:t>
            </w:r>
          </w:p>
          <w:p w:rsidR="00000000" w:rsidDel="00000000" w:rsidP="00000000" w:rsidRDefault="00000000" w:rsidRPr="00000000" w14:paraId="00000025">
            <w:pPr>
              <w:numPr>
                <w:ilvl w:val="0"/>
                <w:numId w:val="8"/>
              </w:numPr>
              <w:spacing w:after="0" w:afterAutospacing="0" w:before="0" w:beforeAutospacing="0" w:lineRule="auto"/>
              <w:ind w:left="720" w:hanging="360"/>
              <w:jc w:val="both"/>
              <w:rPr>
                <w:sz w:val="16"/>
                <w:szCs w:val="16"/>
              </w:rPr>
            </w:pPr>
            <w:r w:rsidDel="00000000" w:rsidR="00000000" w:rsidRPr="00000000">
              <w:rPr>
                <w:b w:val="1"/>
                <w:bCs w:val="1"/>
                <w:sz w:val="16"/>
                <w:szCs w:val="16"/>
                <w:rtl w:val="0"/>
              </w:rPr>
              <w:t xml:space="preserve">Context (Contexto)</w:t>
            </w:r>
            <w:r w:rsidDel="00000000" w:rsidR="00000000" w:rsidRPr="00000000">
              <w:rPr>
                <w:sz w:val="16"/>
                <w:szCs w:val="16"/>
                <w:rtl w:val="0"/>
              </w:rPr>
              <w:t xml:space="preserve">: Proveer el entorno, antecedentes, audiencia y detalles relevantes para situar la petición.</w:t>
            </w:r>
          </w:p>
          <w:p w:rsidR="00000000" w:rsidDel="00000000" w:rsidP="00000000" w:rsidRDefault="00000000" w:rsidRPr="00000000" w14:paraId="00000026">
            <w:pPr>
              <w:numPr>
                <w:ilvl w:val="0"/>
                <w:numId w:val="8"/>
              </w:numPr>
              <w:spacing w:after="0" w:afterAutospacing="0" w:before="0" w:beforeAutospacing="0" w:lineRule="auto"/>
              <w:ind w:left="720" w:hanging="360"/>
              <w:jc w:val="both"/>
              <w:rPr>
                <w:sz w:val="16"/>
                <w:szCs w:val="16"/>
              </w:rPr>
            </w:pPr>
            <w:r w:rsidDel="00000000" w:rsidR="00000000" w:rsidRPr="00000000">
              <w:rPr>
                <w:b w:val="1"/>
                <w:bCs w:val="1"/>
                <w:sz w:val="16"/>
                <w:szCs w:val="16"/>
                <w:rtl w:val="0"/>
              </w:rPr>
              <w:t xml:space="preserve">Task (Tarea):</w:t>
            </w:r>
            <w:r w:rsidDel="00000000" w:rsidR="00000000" w:rsidRPr="00000000">
              <w:rPr>
                <w:sz w:val="16"/>
                <w:szCs w:val="16"/>
                <w:rtl w:val="0"/>
              </w:rPr>
              <w:t xml:space="preserve">  Explicar exactamente qué se debe hacer, los objetivos y qué define al éxito.</w:t>
            </w:r>
          </w:p>
          <w:p w:rsidR="00000000" w:rsidDel="00000000" w:rsidP="00000000" w:rsidRDefault="00000000" w:rsidRPr="00000000" w14:paraId="00000027">
            <w:pPr>
              <w:numPr>
                <w:ilvl w:val="0"/>
                <w:numId w:val="8"/>
              </w:numPr>
              <w:spacing w:after="240" w:before="0" w:beforeAutospacing="0" w:lineRule="auto"/>
              <w:ind w:left="720" w:hanging="360"/>
              <w:jc w:val="both"/>
              <w:rPr>
                <w:sz w:val="16"/>
                <w:szCs w:val="16"/>
              </w:rPr>
            </w:pPr>
            <w:r w:rsidDel="00000000" w:rsidR="00000000" w:rsidRPr="00000000">
              <w:rPr>
                <w:b w:val="1"/>
                <w:bCs w:val="1"/>
                <w:sz w:val="16"/>
                <w:szCs w:val="16"/>
                <w:rtl w:val="0"/>
              </w:rPr>
              <w:t xml:space="preserve">Format (Formato):</w:t>
            </w:r>
            <w:r w:rsidDel="00000000" w:rsidR="00000000" w:rsidRPr="00000000">
              <w:rPr>
                <w:sz w:val="16"/>
                <w:szCs w:val="16"/>
                <w:rtl w:val="0"/>
              </w:rPr>
              <w:t xml:space="preserve"> Especificar cómo debe lucir la salida. (ej. "Usa viñetas", "Escribe una tabla", “Archivo con extensión .docx”,"Código en Python"). </w:t>
            </w:r>
          </w:p>
        </w:tc>
      </w:tr>
    </w:tbl>
    <w:p w:rsidR="00000000" w:rsidDel="00000000" w:rsidP="00000000" w:rsidRDefault="00000000" w:rsidRPr="00000000" w14:paraId="00000028">
      <w:pPr>
        <w:pBdr>
          <w:top w:color="auto" w:space="0" w:sz="0" w:val="none"/>
          <w:left w:color="auto" w:space="4" w:sz="0" w:val="none"/>
          <w:bottom w:color="auto" w:space="0" w:sz="0" w:val="none"/>
          <w:right w:color="auto" w:space="0" w:sz="0" w:val="none"/>
          <w:between w:color="auto" w:space="0" w:sz="0" w:val="none"/>
        </w:pBd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Aspectos a analizar:</w:t>
      </w:r>
    </w:p>
    <w:tbl>
      <w:tblPr>
        <w:tblStyle w:val="Table2"/>
        <w:tblW w:w="10230.0" w:type="dxa"/>
        <w:jc w:val="left"/>
        <w:tblInd w:w="480.0" w:type="dxa"/>
        <w:tblLayout w:type="fixed"/>
        <w:tblLook w:val="0600"/>
      </w:tblPr>
      <w:tblGrid>
        <w:gridCol w:w="1485"/>
        <w:gridCol w:w="3135"/>
        <w:gridCol w:w="5610"/>
        <w:tblGridChange w:id="0">
          <w:tblGrid>
            <w:gridCol w:w="1485"/>
            <w:gridCol w:w="3135"/>
            <w:gridCol w:w="5610"/>
          </w:tblGrid>
        </w:tblGridChange>
      </w:tblGrid>
      <w:tr>
        <w:trPr>
          <w:cantSplit w:val="0"/>
          <w:trHeight w:val="300" w:hRule="atLeast"/>
          <w:tblHeader w:val="0"/>
        </w:trPr>
        <w:tc>
          <w:tcPr>
            <w:tcBorders>
              <w:top w:color="0000ff" w:space="0" w:sz="6" w:val="single"/>
              <w:left w:color="0000ff" w:space="0" w:sz="6" w:val="single"/>
              <w:bottom w:color="0000ff" w:space="0" w:sz="6" w:val="single"/>
              <w:right w:color="0000ff" w:space="0" w:sz="6" w:val="single"/>
            </w:tcBorders>
            <w:shd w:fill="3c78d8" w:val="clear"/>
            <w:tcMar>
              <w:top w:w="0.0" w:type="dxa"/>
              <w:left w:w="40.0" w:type="dxa"/>
              <w:bottom w:w="0.0" w:type="dxa"/>
              <w:right w:w="40.0" w:type="dxa"/>
            </w:tcMar>
            <w:vAlign w:val="center"/>
          </w:tcPr>
          <w:p w:rsidR="00000000" w:rsidDel="00000000" w:rsidP="00000000" w:rsidRDefault="00000000" w:rsidRPr="00000000" w14:paraId="00000029">
            <w:pPr>
              <w:widowControl w:val="0"/>
              <w:jc w:val="center"/>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Grupo</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3c78d8" w:val="clear"/>
            <w:tcMar>
              <w:top w:w="0.0" w:type="dxa"/>
              <w:left w:w="40.0" w:type="dxa"/>
              <w:bottom w:w="0.0" w:type="dxa"/>
              <w:right w:w="40.0" w:type="dxa"/>
            </w:tcMar>
            <w:vAlign w:val="center"/>
          </w:tcPr>
          <w:p w:rsidR="00000000" w:rsidDel="00000000" w:rsidP="00000000" w:rsidRDefault="00000000" w:rsidRPr="00000000" w14:paraId="0000002A">
            <w:pPr>
              <w:widowControl w:val="0"/>
              <w:jc w:val="center"/>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Aspecto a Revisar</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3c78d8" w:val="clear"/>
            <w:tcMar>
              <w:top w:w="0.0" w:type="dxa"/>
              <w:left w:w="40.0" w:type="dxa"/>
              <w:bottom w:w="0.0" w:type="dxa"/>
              <w:right w:w="40.0" w:type="dxa"/>
            </w:tcMar>
            <w:vAlign w:val="center"/>
          </w:tcPr>
          <w:p w:rsidR="00000000" w:rsidDel="00000000" w:rsidP="00000000" w:rsidRDefault="00000000" w:rsidRPr="00000000" w14:paraId="0000002B">
            <w:pPr>
              <w:widowControl w:val="0"/>
              <w:jc w:val="center"/>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Qué debe analizar el grupo</w:t>
            </w:r>
            <w:r w:rsidDel="00000000" w:rsidR="00000000" w:rsidRPr="00000000">
              <w:rPr>
                <w:rtl w:val="0"/>
              </w:rPr>
            </w:r>
          </w:p>
        </w:tc>
      </w:tr>
      <w:tr>
        <w:trPr>
          <w:cantSplit w:val="0"/>
          <w:trHeight w:val="600" w:hRule="atLeast"/>
          <w:tblHeader w:val="0"/>
        </w:trPr>
        <w:tc>
          <w:tcPr>
            <w:vMerge w:val="restart"/>
            <w:tcBorders>
              <w:top w:color="0000ff" w:space="0" w:sz="6" w:val="single"/>
              <w:left w:color="0000ff" w:space="0" w:sz="6" w:val="single"/>
              <w:bottom w:color="0000ff" w:space="0" w:sz="6" w:val="single"/>
              <w:right w:color="0000ff"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2C">
            <w:pPr>
              <w:widowControl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Grupo 1</w:t>
            </w:r>
          </w:p>
        </w:tc>
        <w:tc>
          <w:tcPr>
            <w:tcBorders>
              <w:top w:color="0000ff" w:space="0" w:sz="6" w:val="single"/>
              <w:left w:color="0000ff" w:space="0" w:sz="6" w:val="single"/>
              <w:bottom w:color="0000ff" w:space="0" w:sz="6" w:val="single"/>
              <w:right w:color="0000ff"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2D">
            <w:pPr>
              <w:widowControl w:val="0"/>
              <w:rPr>
                <w:rFonts w:ascii="Calibri" w:cs="Calibri" w:eastAsia="Calibri" w:hAnsi="Calibri"/>
              </w:rPr>
            </w:pPr>
            <w:r w:rsidDel="00000000" w:rsidR="00000000" w:rsidRPr="00000000">
              <w:rPr>
                <w:rFonts w:ascii="Calibri" w:cs="Calibri" w:eastAsia="Calibri" w:hAnsi="Calibri"/>
                <w:rtl w:val="0"/>
              </w:rPr>
              <w:t xml:space="preserve">Verificación de requisitos</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2E">
            <w:pPr>
              <w:widowControl w:val="0"/>
              <w:rPr>
                <w:rFonts w:ascii="Calibri" w:cs="Calibri" w:eastAsia="Calibri" w:hAnsi="Calibri"/>
              </w:rPr>
            </w:pPr>
            <w:r w:rsidDel="00000000" w:rsidR="00000000" w:rsidRPr="00000000">
              <w:rPr>
                <w:rFonts w:ascii="Calibri" w:cs="Calibri" w:eastAsia="Calibri" w:hAnsi="Calibri"/>
                <w:rtl w:val="0"/>
              </w:rPr>
              <w:t xml:space="preserve">Analizar cómo la falta de validación entre requisitos y diseño afectó el proyecto. Identificar inconsistencias entre análisis y desarrollo.</w:t>
            </w:r>
            <w:r w:rsidDel="00000000" w:rsidR="00000000" w:rsidRPr="00000000">
              <w:rPr>
                <w:rtl w:val="0"/>
              </w:rPr>
            </w:r>
          </w:p>
        </w:tc>
      </w:tr>
      <w:tr>
        <w:trPr>
          <w:cantSplit w:val="0"/>
          <w:trHeight w:val="600" w:hRule="atLeast"/>
          <w:tblHeader w:val="0"/>
        </w:trPr>
        <w:tc>
          <w:tcPr>
            <w:vMerge w:val="continue"/>
            <w:tcBorders>
              <w:top w:color="0000ff" w:space="0" w:sz="6" w:val="single"/>
              <w:left w:color="0000ff" w:space="0" w:sz="6" w:val="single"/>
              <w:bottom w:color="0000ff" w:space="0" w:sz="6" w:val="single"/>
              <w:right w:color="0000ff"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2F">
            <w:pPr>
              <w:widowControl w:val="0"/>
              <w:rPr>
                <w:sz w:val="20"/>
                <w:szCs w:val="20"/>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30">
            <w:pPr>
              <w:widowControl w:val="0"/>
              <w:rPr>
                <w:rFonts w:ascii="Calibri" w:cs="Calibri" w:eastAsia="Calibri" w:hAnsi="Calibri"/>
              </w:rPr>
            </w:pPr>
            <w:r w:rsidDel="00000000" w:rsidR="00000000" w:rsidRPr="00000000">
              <w:rPr>
                <w:rFonts w:ascii="Calibri" w:cs="Calibri" w:eastAsia="Calibri" w:hAnsi="Calibri"/>
                <w:rtl w:val="0"/>
              </w:rPr>
              <w:t xml:space="preserve">Calidad de los artefactos de diseño</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31">
            <w:pPr>
              <w:widowControl w:val="0"/>
              <w:rPr>
                <w:rFonts w:ascii="Calibri" w:cs="Calibri" w:eastAsia="Calibri" w:hAnsi="Calibri"/>
              </w:rPr>
            </w:pPr>
            <w:r w:rsidDel="00000000" w:rsidR="00000000" w:rsidRPr="00000000">
              <w:rPr>
                <w:rFonts w:ascii="Calibri" w:cs="Calibri" w:eastAsia="Calibri" w:hAnsi="Calibri"/>
                <w:rtl w:val="0"/>
              </w:rPr>
              <w:t xml:space="preserve">Evaluar problemas en diagramas, documentación técnica y modelos de arquitectura. Determinar cómo un diseño deficiente impacta el software final.</w:t>
            </w:r>
            <w:r w:rsidDel="00000000" w:rsidR="00000000" w:rsidRPr="00000000">
              <w:rPr>
                <w:rtl w:val="0"/>
              </w:rPr>
            </w:r>
          </w:p>
        </w:tc>
      </w:tr>
      <w:tr>
        <w:trPr>
          <w:cantSplit w:val="0"/>
          <w:trHeight w:val="600" w:hRule="atLeast"/>
          <w:tblHeader w:val="0"/>
        </w:trPr>
        <w:tc>
          <w:tcPr>
            <w:vMerge w:val="restart"/>
            <w:tcBorders>
              <w:top w:color="0000ff" w:space="0" w:sz="6" w:val="single"/>
              <w:left w:color="0000ff" w:space="0" w:sz="6" w:val="single"/>
              <w:bottom w:color="0000ff" w:space="0" w:sz="6" w:val="single"/>
              <w:right w:color="0000f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Grupo 2</w:t>
            </w:r>
          </w:p>
        </w:tc>
        <w:tc>
          <w:tcPr>
            <w:tcBorders>
              <w:top w:color="0000ff" w:space="0" w:sz="6" w:val="single"/>
              <w:left w:color="0000ff" w:space="0" w:sz="6" w:val="single"/>
              <w:bottom w:color="0000ff" w:space="0" w:sz="6" w:val="single"/>
              <w:right w:color="0000f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3">
            <w:pPr>
              <w:widowControl w:val="0"/>
              <w:rPr>
                <w:rFonts w:ascii="Calibri" w:cs="Calibri" w:eastAsia="Calibri" w:hAnsi="Calibri"/>
              </w:rPr>
            </w:pPr>
            <w:r w:rsidDel="00000000" w:rsidR="00000000" w:rsidRPr="00000000">
              <w:rPr>
                <w:rFonts w:ascii="Calibri" w:cs="Calibri" w:eastAsia="Calibri" w:hAnsi="Calibri"/>
                <w:rtl w:val="0"/>
              </w:rPr>
              <w:t xml:space="preserve">Acoplamiento y cohesión</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4">
            <w:pPr>
              <w:widowControl w:val="0"/>
              <w:rPr>
                <w:rFonts w:ascii="Calibri" w:cs="Calibri" w:eastAsia="Calibri" w:hAnsi="Calibri"/>
              </w:rPr>
            </w:pPr>
            <w:r w:rsidDel="00000000" w:rsidR="00000000" w:rsidRPr="00000000">
              <w:rPr>
                <w:rFonts w:ascii="Calibri" w:cs="Calibri" w:eastAsia="Calibri" w:hAnsi="Calibri"/>
                <w:rtl w:val="0"/>
              </w:rPr>
              <w:t xml:space="preserve">Analizar el impacto del alto acoplamiento y baja cohesión en la escalabilidad, mantenimiento y sincronización del sistema.</w:t>
            </w:r>
            <w:r w:rsidDel="00000000" w:rsidR="00000000" w:rsidRPr="00000000">
              <w:rPr>
                <w:rtl w:val="0"/>
              </w:rPr>
            </w:r>
          </w:p>
        </w:tc>
      </w:tr>
      <w:tr>
        <w:trPr>
          <w:cantSplit w:val="0"/>
          <w:trHeight w:val="600" w:hRule="atLeast"/>
          <w:tblHeader w:val="0"/>
        </w:trPr>
        <w:tc>
          <w:tcPr>
            <w:vMerge w:val="continue"/>
            <w:tcBorders>
              <w:top w:color="0000ff"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sz w:val="20"/>
                <w:szCs w:val="20"/>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rPr>
                <w:rFonts w:ascii="Calibri" w:cs="Calibri" w:eastAsia="Calibri" w:hAnsi="Calibri"/>
              </w:rPr>
            </w:pPr>
            <w:r w:rsidDel="00000000" w:rsidR="00000000" w:rsidRPr="00000000">
              <w:rPr>
                <w:rFonts w:ascii="Calibri" w:cs="Calibri" w:eastAsia="Calibri" w:hAnsi="Calibri"/>
                <w:rtl w:val="0"/>
              </w:rPr>
              <w:t xml:space="preserve">Impacto económico del fracaso</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rPr>
                <w:rFonts w:ascii="Calibri" w:cs="Calibri" w:eastAsia="Calibri" w:hAnsi="Calibri"/>
              </w:rPr>
            </w:pPr>
            <w:r w:rsidDel="00000000" w:rsidR="00000000" w:rsidRPr="00000000">
              <w:rPr>
                <w:rFonts w:ascii="Calibri" w:cs="Calibri" w:eastAsia="Calibri" w:hAnsi="Calibri"/>
                <w:rtl w:val="0"/>
              </w:rPr>
              <w:t xml:space="preserve">Investigar las consecuencias financieras de errores de diseño no detectados tempranamente. Relacionar calidad del software y costos.</w:t>
            </w:r>
            <w:r w:rsidDel="00000000" w:rsidR="00000000" w:rsidRPr="00000000">
              <w:rPr>
                <w:rtl w:val="0"/>
              </w:rPr>
            </w:r>
          </w:p>
        </w:tc>
      </w:tr>
      <w:tr>
        <w:trPr>
          <w:cantSplit w:val="0"/>
          <w:trHeight w:val="405" w:hRule="atLeast"/>
          <w:tblHeader w:val="0"/>
        </w:trPr>
        <w:tc>
          <w:tcPr>
            <w:vMerge w:val="restart"/>
            <w:tcBorders>
              <w:top w:color="0000ff" w:space="0" w:sz="6" w:val="single"/>
              <w:left w:color="0000ff" w:space="0" w:sz="6" w:val="single"/>
              <w:bottom w:color="0000ff" w:space="0" w:sz="6" w:val="single"/>
              <w:right w:color="0000ff"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38">
            <w:pPr>
              <w:widowControl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Grupo 3</w:t>
            </w:r>
          </w:p>
        </w:tc>
        <w:tc>
          <w:tcPr>
            <w:tcBorders>
              <w:top w:color="0000ff" w:space="0" w:sz="6" w:val="single"/>
              <w:left w:color="0000ff" w:space="0" w:sz="6" w:val="single"/>
              <w:bottom w:color="0000ff" w:space="0" w:sz="6" w:val="single"/>
              <w:right w:color="0000ff"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39">
            <w:pPr>
              <w:widowControl w:val="0"/>
              <w:rPr>
                <w:rFonts w:ascii="Calibri" w:cs="Calibri" w:eastAsia="Calibri" w:hAnsi="Calibri"/>
              </w:rPr>
            </w:pPr>
            <w:r w:rsidDel="00000000" w:rsidR="00000000" w:rsidRPr="00000000">
              <w:rPr>
                <w:rFonts w:ascii="Calibri" w:cs="Calibri" w:eastAsia="Calibri" w:hAnsi="Calibri"/>
                <w:rtl w:val="0"/>
              </w:rPr>
              <w:t xml:space="preserve">Impacto operativo en el sector salud</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3A">
            <w:pPr>
              <w:widowControl w:val="0"/>
              <w:rPr>
                <w:rFonts w:ascii="Calibri" w:cs="Calibri" w:eastAsia="Calibri" w:hAnsi="Calibri"/>
              </w:rPr>
            </w:pPr>
            <w:r w:rsidDel="00000000" w:rsidR="00000000" w:rsidRPr="00000000">
              <w:rPr>
                <w:rFonts w:ascii="Calibri" w:cs="Calibri" w:eastAsia="Calibri" w:hAnsi="Calibri"/>
                <w:rtl w:val="0"/>
              </w:rPr>
              <w:t xml:space="preserve">Reflexionar sobre cómo las fallas técnicas afectaron hospitales, médicos, pacientes y gestión clínica.</w:t>
            </w:r>
            <w:r w:rsidDel="00000000" w:rsidR="00000000" w:rsidRPr="00000000">
              <w:rPr>
                <w:rtl w:val="0"/>
              </w:rPr>
            </w:r>
          </w:p>
        </w:tc>
      </w:tr>
      <w:tr>
        <w:trPr>
          <w:cantSplit w:val="0"/>
          <w:trHeight w:val="600" w:hRule="atLeast"/>
          <w:tblHeader w:val="0"/>
        </w:trPr>
        <w:tc>
          <w:tcPr>
            <w:vMerge w:val="continue"/>
            <w:tcBorders>
              <w:top w:color="0000ff" w:space="0" w:sz="6" w:val="single"/>
              <w:left w:color="0000ff" w:space="0" w:sz="6" w:val="single"/>
              <w:bottom w:color="0000ff" w:space="0" w:sz="6" w:val="single"/>
              <w:right w:color="0000ff"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3B">
            <w:pPr>
              <w:widowControl w:val="0"/>
              <w:rPr>
                <w:sz w:val="20"/>
                <w:szCs w:val="20"/>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3C">
            <w:pPr>
              <w:widowControl w:val="0"/>
              <w:rPr>
                <w:rFonts w:ascii="Calibri" w:cs="Calibri" w:eastAsia="Calibri" w:hAnsi="Calibri"/>
              </w:rPr>
            </w:pPr>
            <w:r w:rsidDel="00000000" w:rsidR="00000000" w:rsidRPr="00000000">
              <w:rPr>
                <w:rFonts w:ascii="Calibri" w:cs="Calibri" w:eastAsia="Calibri" w:hAnsi="Calibri"/>
                <w:rtl w:val="0"/>
              </w:rPr>
              <w:t xml:space="preserve">Gestión de riesgos tecnológicos</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3D">
            <w:pPr>
              <w:widowControl w:val="0"/>
              <w:rPr>
                <w:rFonts w:ascii="Calibri" w:cs="Calibri" w:eastAsia="Calibri" w:hAnsi="Calibri"/>
              </w:rPr>
            </w:pPr>
            <w:r w:rsidDel="00000000" w:rsidR="00000000" w:rsidRPr="00000000">
              <w:rPr>
                <w:rFonts w:ascii="Calibri" w:cs="Calibri" w:eastAsia="Calibri" w:hAnsi="Calibri"/>
                <w:rtl w:val="0"/>
              </w:rPr>
              <w:t xml:space="preserve">Identificar riesgos técnicos, operativos y de seguridad que pudieron prevenirse mediante inspecciones formales.</w:t>
            </w:r>
            <w:r w:rsidDel="00000000" w:rsidR="00000000" w:rsidRPr="00000000">
              <w:rPr>
                <w:rtl w:val="0"/>
              </w:rPr>
            </w:r>
          </w:p>
        </w:tc>
      </w:tr>
      <w:tr>
        <w:trPr>
          <w:cantSplit w:val="0"/>
          <w:trHeight w:val="405" w:hRule="atLeast"/>
          <w:tblHeader w:val="0"/>
        </w:trPr>
        <w:tc>
          <w:tcPr>
            <w:vMerge w:val="restart"/>
            <w:tcBorders>
              <w:top w:color="0000ff" w:space="0" w:sz="6" w:val="single"/>
              <w:left w:color="0000ff" w:space="0" w:sz="6" w:val="single"/>
              <w:bottom w:color="0000ff" w:space="0" w:sz="6" w:val="single"/>
              <w:right w:color="0000f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E">
            <w:pPr>
              <w:widowControl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Grupo 4</w:t>
            </w:r>
          </w:p>
        </w:tc>
        <w:tc>
          <w:tcPr>
            <w:tcBorders>
              <w:top w:color="0000ff" w:space="0" w:sz="6" w:val="single"/>
              <w:left w:color="0000ff" w:space="0" w:sz="6" w:val="single"/>
              <w:bottom w:color="0000ff" w:space="0" w:sz="6" w:val="single"/>
              <w:right w:color="0000f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F">
            <w:pPr>
              <w:widowControl w:val="0"/>
              <w:rPr>
                <w:rFonts w:ascii="Calibri" w:cs="Calibri" w:eastAsia="Calibri" w:hAnsi="Calibri"/>
              </w:rPr>
            </w:pPr>
            <w:r w:rsidDel="00000000" w:rsidR="00000000" w:rsidRPr="00000000">
              <w:rPr>
                <w:rFonts w:ascii="Calibri" w:cs="Calibri" w:eastAsia="Calibri" w:hAnsi="Calibri"/>
                <w:rtl w:val="0"/>
              </w:rPr>
              <w:t xml:space="preserve">Responsabilidad ética profesional</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0">
            <w:pPr>
              <w:widowControl w:val="0"/>
              <w:rPr>
                <w:rFonts w:ascii="Calibri" w:cs="Calibri" w:eastAsia="Calibri" w:hAnsi="Calibri"/>
              </w:rPr>
            </w:pPr>
            <w:r w:rsidDel="00000000" w:rsidR="00000000" w:rsidRPr="00000000">
              <w:rPr>
                <w:rFonts w:ascii="Calibri" w:cs="Calibri" w:eastAsia="Calibri" w:hAnsi="Calibri"/>
                <w:rtl w:val="0"/>
              </w:rPr>
              <w:t xml:space="preserve">Analizar la responsabilidad ética de analistas, arquitectos y desarrolladores frente a sistemas críticos.</w:t>
            </w:r>
            <w:r w:rsidDel="00000000" w:rsidR="00000000" w:rsidRPr="00000000">
              <w:rPr>
                <w:rtl w:val="0"/>
              </w:rPr>
            </w:r>
          </w:p>
        </w:tc>
      </w:tr>
      <w:tr>
        <w:trPr>
          <w:cantSplit w:val="0"/>
          <w:trHeight w:val="600" w:hRule="atLeast"/>
          <w:tblHeader w:val="0"/>
        </w:trPr>
        <w:tc>
          <w:tcPr>
            <w:vMerge w:val="continue"/>
            <w:tcBorders>
              <w:top w:color="0000ff"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sz w:val="20"/>
                <w:szCs w:val="20"/>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rPr>
                <w:rFonts w:ascii="Calibri" w:cs="Calibri" w:eastAsia="Calibri" w:hAnsi="Calibri"/>
              </w:rPr>
            </w:pPr>
            <w:r w:rsidDel="00000000" w:rsidR="00000000" w:rsidRPr="00000000">
              <w:rPr>
                <w:rFonts w:ascii="Calibri" w:cs="Calibri" w:eastAsia="Calibri" w:hAnsi="Calibri"/>
                <w:rtl w:val="0"/>
              </w:rPr>
              <w:t xml:space="preserve">Uso de Inteligencia Artificial en auditoría de software</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3">
            <w:pPr>
              <w:widowControl w:val="0"/>
              <w:rPr>
                <w:rFonts w:ascii="Calibri" w:cs="Calibri" w:eastAsia="Calibri" w:hAnsi="Calibri"/>
              </w:rPr>
            </w:pPr>
            <w:r w:rsidDel="00000000" w:rsidR="00000000" w:rsidRPr="00000000">
              <w:rPr>
                <w:rFonts w:ascii="Calibri" w:cs="Calibri" w:eastAsia="Calibri" w:hAnsi="Calibri"/>
                <w:rtl w:val="0"/>
              </w:rPr>
              <w:t xml:space="preserve">Evaluar ventajas, limitaciones y riesgos del uso de IA para revisar artefactos y validar arquitecturas de software.</w:t>
            </w:r>
            <w:r w:rsidDel="00000000" w:rsidR="00000000" w:rsidRPr="00000000">
              <w:rPr>
                <w:rtl w:val="0"/>
              </w:rPr>
            </w:r>
          </w:p>
        </w:tc>
      </w:tr>
      <w:tr>
        <w:trPr>
          <w:cantSplit w:val="0"/>
          <w:trHeight w:val="600" w:hRule="atLeast"/>
          <w:tblHeader w:val="0"/>
        </w:trPr>
        <w:tc>
          <w:tcPr>
            <w:vMerge w:val="restart"/>
            <w:tcBorders>
              <w:top w:color="0000ff" w:space="0" w:sz="6" w:val="single"/>
              <w:left w:color="0000ff" w:space="0" w:sz="6" w:val="single"/>
              <w:bottom w:color="0000ff" w:space="0" w:sz="6" w:val="single"/>
              <w:right w:color="0000ff"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44">
            <w:pPr>
              <w:widowControl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Grupo 5</w:t>
            </w:r>
          </w:p>
        </w:tc>
        <w:tc>
          <w:tcPr>
            <w:tcBorders>
              <w:top w:color="0000ff" w:space="0" w:sz="6" w:val="single"/>
              <w:left w:color="0000ff" w:space="0" w:sz="6" w:val="single"/>
              <w:bottom w:color="0000ff" w:space="0" w:sz="6" w:val="single"/>
              <w:right w:color="0000ff"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45">
            <w:pPr>
              <w:widowControl w:val="0"/>
              <w:rPr>
                <w:rFonts w:ascii="Calibri" w:cs="Calibri" w:eastAsia="Calibri" w:hAnsi="Calibri"/>
              </w:rPr>
            </w:pPr>
            <w:r w:rsidDel="00000000" w:rsidR="00000000" w:rsidRPr="00000000">
              <w:rPr>
                <w:rFonts w:ascii="Calibri" w:cs="Calibri" w:eastAsia="Calibri" w:hAnsi="Calibri"/>
                <w:rtl w:val="0"/>
              </w:rPr>
              <w:t xml:space="preserve">Comunicación entre equipos de trabajo</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46">
            <w:pPr>
              <w:widowControl w:val="0"/>
              <w:rPr>
                <w:rFonts w:ascii="Calibri" w:cs="Calibri" w:eastAsia="Calibri" w:hAnsi="Calibri"/>
              </w:rPr>
            </w:pPr>
            <w:r w:rsidDel="00000000" w:rsidR="00000000" w:rsidRPr="00000000">
              <w:rPr>
                <w:rFonts w:ascii="Calibri" w:cs="Calibri" w:eastAsia="Calibri" w:hAnsi="Calibri"/>
                <w:rtl w:val="0"/>
              </w:rPr>
              <w:t xml:space="preserve">Analizar cómo la mala comunicación entre analistas, diseñadores y desarrolladores puede generar errores estructurales.</w:t>
            </w:r>
            <w:r w:rsidDel="00000000" w:rsidR="00000000" w:rsidRPr="00000000">
              <w:rPr>
                <w:rtl w:val="0"/>
              </w:rPr>
            </w:r>
          </w:p>
        </w:tc>
      </w:tr>
      <w:tr>
        <w:trPr>
          <w:cantSplit w:val="0"/>
          <w:trHeight w:val="405" w:hRule="atLeast"/>
          <w:tblHeader w:val="0"/>
        </w:trPr>
        <w:tc>
          <w:tcPr>
            <w:vMerge w:val="continue"/>
            <w:tcBorders>
              <w:top w:color="0000ff" w:space="0" w:sz="6" w:val="single"/>
              <w:left w:color="0000ff" w:space="0" w:sz="6" w:val="single"/>
              <w:bottom w:color="0000ff" w:space="0" w:sz="6" w:val="single"/>
              <w:right w:color="0000ff"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7">
            <w:pPr>
              <w:widowControl w:val="0"/>
              <w:rPr>
                <w:sz w:val="20"/>
                <w:szCs w:val="20"/>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48">
            <w:pPr>
              <w:widowControl w:val="0"/>
              <w:rPr>
                <w:rFonts w:ascii="Calibri" w:cs="Calibri" w:eastAsia="Calibri" w:hAnsi="Calibri"/>
              </w:rPr>
            </w:pPr>
            <w:r w:rsidDel="00000000" w:rsidR="00000000" w:rsidRPr="00000000">
              <w:rPr>
                <w:rFonts w:ascii="Calibri" w:cs="Calibri" w:eastAsia="Calibri" w:hAnsi="Calibri"/>
                <w:rtl w:val="0"/>
              </w:rPr>
              <w:t xml:space="preserve">Mejores prácticas de aseguramiento de calidad</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49">
            <w:pPr>
              <w:widowControl w:val="0"/>
              <w:rPr>
                <w:rFonts w:ascii="Calibri" w:cs="Calibri" w:eastAsia="Calibri" w:hAnsi="Calibri"/>
              </w:rPr>
            </w:pPr>
            <w:r w:rsidDel="00000000" w:rsidR="00000000" w:rsidRPr="00000000">
              <w:rPr>
                <w:rFonts w:ascii="Calibri" w:cs="Calibri" w:eastAsia="Calibri" w:hAnsi="Calibri"/>
                <w:rtl w:val="0"/>
              </w:rPr>
              <w:t xml:space="preserve">Proponer técnicas, metodologías y listas de chequeo que habrían evitado el fracaso del proyecto NHS.</w:t>
            </w:r>
            <w:r w:rsidDel="00000000" w:rsidR="00000000" w:rsidRPr="00000000">
              <w:rPr>
                <w:rtl w:val="0"/>
              </w:rPr>
            </w:r>
          </w:p>
        </w:tc>
      </w:tr>
      <w:tr>
        <w:trPr>
          <w:cantSplit w:val="0"/>
          <w:trHeight w:val="990" w:hRule="atLeast"/>
          <w:tblHeader w:val="0"/>
        </w:trPr>
        <w:tc>
          <w:tcPr>
            <w:vMerge w:val="restart"/>
            <w:tcBorders>
              <w:top w:color="0000ff" w:space="0" w:sz="6" w:val="single"/>
              <w:left w:color="0000ff" w:space="0" w:sz="6" w:val="single"/>
              <w:bottom w:color="0000ff" w:space="0" w:sz="6" w:val="single"/>
              <w:right w:color="0000f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A">
            <w:pPr>
              <w:widowControl w:val="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Grupo 6</w:t>
            </w:r>
          </w:p>
        </w:tc>
        <w:tc>
          <w:tcPr>
            <w:tcBorders>
              <w:top w:color="0000ff" w:space="0" w:sz="6" w:val="single"/>
              <w:left w:color="0000ff" w:space="0" w:sz="6" w:val="single"/>
              <w:bottom w:color="0000ff" w:space="0" w:sz="6" w:val="single"/>
              <w:right w:color="0000f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B">
            <w:pPr>
              <w:widowControl w:val="0"/>
              <w:rPr>
                <w:rFonts w:ascii="Calibri" w:cs="Calibri" w:eastAsia="Calibri" w:hAnsi="Calibri"/>
              </w:rPr>
            </w:pPr>
            <w:r w:rsidDel="00000000" w:rsidR="00000000" w:rsidRPr="00000000">
              <w:rPr>
                <w:rFonts w:ascii="Calibri" w:cs="Calibri" w:eastAsia="Calibri" w:hAnsi="Calibri"/>
                <w:rtl w:val="0"/>
              </w:rPr>
              <w:t xml:space="preserve">Escalabilidad y mantenimiento del sistema</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C">
            <w:pPr>
              <w:widowControl w:val="0"/>
              <w:rPr>
                <w:rFonts w:ascii="Calibri" w:cs="Calibri" w:eastAsia="Calibri" w:hAnsi="Calibri"/>
              </w:rPr>
            </w:pPr>
            <w:r w:rsidDel="00000000" w:rsidR="00000000" w:rsidRPr="00000000">
              <w:rPr>
                <w:rFonts w:ascii="Calibri" w:cs="Calibri" w:eastAsia="Calibri" w:hAnsi="Calibri"/>
                <w:rtl w:val="0"/>
              </w:rPr>
              <w:t xml:space="preserve">Analizar cómo las decisiones de diseño afectaron la capacidad del sistema NHS para crecer, adaptarse y mantenerse en funcionamiento. Evaluar cómo el acoplamiento excesivo dificultó las actualizaciones y el mantenimiento del software.</w:t>
            </w:r>
            <w:r w:rsidDel="00000000" w:rsidR="00000000" w:rsidRPr="00000000">
              <w:rPr>
                <w:rtl w:val="0"/>
              </w:rPr>
            </w:r>
          </w:p>
        </w:tc>
      </w:tr>
      <w:tr>
        <w:trPr>
          <w:cantSplit w:val="0"/>
          <w:trHeight w:val="990" w:hRule="atLeast"/>
          <w:tblHeader w:val="0"/>
        </w:trPr>
        <w:tc>
          <w:tcPr>
            <w:vMerge w:val="continue"/>
            <w:tcBorders>
              <w:top w:color="0000ff" w:space="0" w:sz="6" w:val="single"/>
              <w:left w:color="0000ff" w:space="0" w:sz="6" w:val="single"/>
              <w:bottom w:color="0000ff" w:space="0" w:sz="6" w:val="single"/>
              <w:right w:color="0000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sz w:val="20"/>
                <w:szCs w:val="20"/>
              </w:rPr>
            </w:pP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rPr>
                <w:rFonts w:ascii="Calibri" w:cs="Calibri" w:eastAsia="Calibri" w:hAnsi="Calibri"/>
              </w:rPr>
            </w:pPr>
            <w:r w:rsidDel="00000000" w:rsidR="00000000" w:rsidRPr="00000000">
              <w:rPr>
                <w:rFonts w:ascii="Calibri" w:cs="Calibri" w:eastAsia="Calibri" w:hAnsi="Calibri"/>
                <w:rtl w:val="0"/>
              </w:rPr>
              <w:t xml:space="preserve">Fallas de sincronización y gestión de datos</w:t>
            </w:r>
            <w:r w:rsidDel="00000000" w:rsidR="00000000" w:rsidRPr="00000000">
              <w:rPr>
                <w:rtl w:val="0"/>
              </w:rPr>
            </w:r>
          </w:p>
        </w:tc>
        <w:tc>
          <w:tcPr>
            <w:tcBorders>
              <w:top w:color="0000ff" w:space="0" w:sz="6" w:val="single"/>
              <w:left w:color="0000ff" w:space="0" w:sz="6" w:val="single"/>
              <w:bottom w:color="0000ff" w:space="0" w:sz="6" w:val="single"/>
              <w:right w:color="0000f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widowControl w:val="0"/>
              <w:rPr>
                <w:rFonts w:ascii="Calibri" w:cs="Calibri" w:eastAsia="Calibri" w:hAnsi="Calibri"/>
              </w:rPr>
            </w:pPr>
            <w:r w:rsidDel="00000000" w:rsidR="00000000" w:rsidRPr="00000000">
              <w:rPr>
                <w:rFonts w:ascii="Calibri" w:cs="Calibri" w:eastAsia="Calibri" w:hAnsi="Calibri"/>
                <w:rtl w:val="0"/>
              </w:rPr>
              <w:t xml:space="preserve">Examinar cómo los errores en la integración y sincronización de bases de datos impactaron la confiabilidad de la información clínica de millones de pacientes. Identificar riesgos asociados a la pérdida, inconsistencia o duplicidad de datos.</w:t>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line="360" w:lineRule="auto"/>
        <w:ind w:left="36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Ambiente requerido</w:t>
      </w:r>
      <w:r w:rsidDel="00000000" w:rsidR="00000000" w:rsidRPr="00000000">
        <w:rPr>
          <w:rFonts w:ascii="Calibri" w:cs="Calibri" w:eastAsia="Calibri" w:hAnsi="Calibri"/>
          <w:rtl w:val="0"/>
        </w:rPr>
        <w:t xml:space="preserve">:  Ambiente de formación con conectividad a Internet.</w:t>
      </w:r>
    </w:p>
    <w:p w:rsidR="00000000" w:rsidDel="00000000" w:rsidP="00000000" w:rsidRDefault="00000000" w:rsidRPr="00000000" w14:paraId="00000052">
      <w:pPr>
        <w:spacing w:line="360"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line="360" w:lineRule="auto"/>
        <w:ind w:left="36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Estrategias o técnicas didácticas activas</w:t>
      </w:r>
      <w:r w:rsidDel="00000000" w:rsidR="00000000" w:rsidRPr="00000000">
        <w:rPr>
          <w:rFonts w:ascii="Calibri" w:cs="Calibri" w:eastAsia="Calibri" w:hAnsi="Calibri"/>
          <w:rtl w:val="0"/>
        </w:rPr>
        <w:t xml:space="preserve">:  Preguntas orientadoras y debate guiado.</w:t>
      </w:r>
    </w:p>
    <w:p w:rsidR="00000000" w:rsidDel="00000000" w:rsidP="00000000" w:rsidRDefault="00000000" w:rsidRPr="00000000" w14:paraId="00000054">
      <w:pPr>
        <w:spacing w:line="360"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line="360" w:lineRule="auto"/>
        <w:ind w:left="36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Materiales de formación</w:t>
      </w:r>
      <w:r w:rsidDel="00000000" w:rsidR="00000000" w:rsidRPr="00000000">
        <w:rPr>
          <w:rFonts w:ascii="Calibri" w:cs="Calibri" w:eastAsia="Calibri" w:hAnsi="Calibri"/>
          <w:rtl w:val="0"/>
        </w:rPr>
        <w:t xml:space="preserve">: Computador con acceso a navegador web</w:t>
      </w:r>
    </w:p>
    <w:p w:rsidR="00000000" w:rsidDel="00000000" w:rsidP="00000000" w:rsidRDefault="00000000" w:rsidRPr="00000000" w14:paraId="00000056">
      <w:pPr>
        <w:spacing w:line="360"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line="360" w:lineRule="auto"/>
        <w:ind w:left="36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Material de apoyo</w:t>
      </w:r>
      <w:r w:rsidDel="00000000" w:rsidR="00000000" w:rsidRPr="00000000">
        <w:rPr>
          <w:rFonts w:ascii="Calibri" w:cs="Calibri" w:eastAsia="Calibri" w:hAnsi="Calibri"/>
          <w:rtl w:val="0"/>
        </w:rPr>
        <w:t xml:space="preserve">:</w:t>
      </w:r>
    </w:p>
    <w:p w:rsidR="00000000" w:rsidDel="00000000" w:rsidP="00000000" w:rsidRDefault="00000000" w:rsidRPr="00000000" w14:paraId="00000058">
      <w:pPr>
        <w:numPr>
          <w:ilvl w:val="0"/>
          <w:numId w:val="6"/>
        </w:numPr>
        <w:spacing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Documento técnico resumido del fracaso del NHS Connecting for Health:</w:t>
      </w:r>
    </w:p>
    <w:p w:rsidR="00000000" w:rsidDel="00000000" w:rsidP="00000000" w:rsidRDefault="00000000" w:rsidRPr="00000000" w14:paraId="00000059">
      <w:pPr>
        <w:spacing w:line="360" w:lineRule="auto"/>
        <w:ind w:left="840" w:firstLine="44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Caso servicios de salud del Reino Unido (NHS_Connecting for Health).pdf</w:t>
      </w:r>
    </w:p>
    <w:p w:rsidR="00000000" w:rsidDel="00000000" w:rsidP="00000000" w:rsidRDefault="00000000" w:rsidRPr="00000000" w14:paraId="0000005A">
      <w:pPr>
        <w:numPr>
          <w:ilvl w:val="0"/>
          <w:numId w:val="5"/>
        </w:numPr>
        <w:spacing w:line="48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Syal, R. (2017, 1 diciembre). Abandoned NHS IT system has cost £10bn so far. The Guardian. </w:t>
      </w:r>
      <w:hyperlink r:id="rId9">
        <w:r w:rsidDel="00000000" w:rsidR="00000000" w:rsidRPr="00000000">
          <w:rPr>
            <w:rFonts w:ascii="Calibri" w:cs="Calibri" w:eastAsia="Calibri" w:hAnsi="Calibri"/>
            <w:color w:val="1155cc"/>
            <w:u w:val="single"/>
            <w:rtl w:val="0"/>
          </w:rPr>
          <w:t xml:space="preserve">https://www.theguardian.com/society/2013/sep/18/nhs-records-system-10bn</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5B">
      <w:pPr>
        <w:numPr>
          <w:ilvl w:val="0"/>
          <w:numId w:val="5"/>
        </w:numPr>
        <w:spacing w:line="480" w:lineRule="auto"/>
        <w:ind w:left="1440" w:hanging="360"/>
        <w:rPr>
          <w:rFonts w:ascii="Calibri" w:cs="Calibri" w:eastAsia="Calibri" w:hAnsi="Calibri"/>
        </w:rPr>
      </w:pPr>
      <w:r w:rsidDel="00000000" w:rsidR="00000000" w:rsidRPr="00000000">
        <w:rPr>
          <w:rFonts w:ascii="Calibri" w:cs="Calibri" w:eastAsia="Calibri" w:hAnsi="Calibri"/>
          <w:rtl w:val="0"/>
        </w:rPr>
        <w:t xml:space="preserve">Dolfing, H. (2026, 14 mayo). </w:t>
      </w:r>
      <w:r w:rsidDel="00000000" w:rsidR="00000000" w:rsidRPr="00000000">
        <w:rPr>
          <w:rFonts w:ascii="Calibri" w:cs="Calibri" w:eastAsia="Calibri" w:hAnsi="Calibri"/>
          <w:i w:val="1"/>
          <w:iCs w:val="1"/>
          <w:rtl w:val="0"/>
        </w:rPr>
        <w:t xml:space="preserve">Case Study 1: The £10 Billion IT Disaster at the NHS</w:t>
      </w:r>
      <w:r w:rsidDel="00000000" w:rsidR="00000000" w:rsidRPr="00000000">
        <w:rPr>
          <w:rFonts w:ascii="Calibri" w:cs="Calibri" w:eastAsia="Calibri" w:hAnsi="Calibri"/>
          <w:rtl w:val="0"/>
        </w:rPr>
        <w:t xml:space="preserve">. Henrico Dolfing. </w:t>
      </w:r>
      <w:hyperlink r:id="rId10">
        <w:r w:rsidDel="00000000" w:rsidR="00000000" w:rsidRPr="00000000">
          <w:rPr>
            <w:rFonts w:ascii="Calibri" w:cs="Calibri" w:eastAsia="Calibri" w:hAnsi="Calibri"/>
            <w:color w:val="0000ff"/>
            <w:u w:val="single"/>
            <w:rtl w:val="0"/>
          </w:rPr>
          <w:t xml:space="preserve">https://www.henricodolfing.ch/en/case-study-1-the-10-billion-it-disaster-at-the-nhs/</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C">
      <w:pPr>
        <w:spacing w:line="240"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numPr>
          <w:ilvl w:val="0"/>
          <w:numId w:val="5"/>
        </w:numPr>
        <w:spacing w:line="480" w:lineRule="auto"/>
        <w:ind w:left="1440" w:hanging="360"/>
        <w:rPr>
          <w:rFonts w:ascii="Calibri" w:cs="Calibri" w:eastAsia="Calibri" w:hAnsi="Calibri"/>
        </w:rPr>
      </w:pPr>
      <w:r w:rsidDel="00000000" w:rsidR="00000000" w:rsidRPr="00000000">
        <w:rPr>
          <w:rFonts w:ascii="Calibri" w:cs="Calibri" w:eastAsia="Calibri" w:hAnsi="Calibri"/>
          <w:i w:val="1"/>
          <w:iCs w:val="1"/>
          <w:rtl w:val="0"/>
        </w:rPr>
        <w:t xml:space="preserve">Wikipedia contributors. (2025, 30 octubre). NHS Connecting for Health. Wikipedia. </w:t>
      </w:r>
      <w:hyperlink r:id="rId11">
        <w:r w:rsidDel="00000000" w:rsidR="00000000" w:rsidRPr="00000000">
          <w:rPr>
            <w:rFonts w:ascii="Calibri" w:cs="Calibri" w:eastAsia="Calibri" w:hAnsi="Calibri"/>
            <w:color w:val="0000ff"/>
            <w:u w:val="single"/>
            <w:rtl w:val="0"/>
          </w:rPr>
          <w:t xml:space="preserve">https://en.wikipedia.org/wiki/NHS_Connecting_for_Health</w:t>
        </w:r>
      </w:hyperlink>
      <w:r w:rsidDel="00000000" w:rsidR="00000000" w:rsidRPr="00000000">
        <w:rPr>
          <w:rFonts w:ascii="Calibri" w:cs="Calibri" w:eastAsia="Calibri" w:hAnsi="Calibri"/>
          <w:color w:val="0000ff"/>
          <w:u w:val="single"/>
          <w:rtl w:val="0"/>
        </w:rPr>
        <w:t xml:space="preserve">   </w:t>
      </w:r>
      <w:r w:rsidDel="00000000" w:rsidR="00000000" w:rsidRPr="00000000">
        <w:rPr>
          <w:rtl w:val="0"/>
        </w:rPr>
      </w:r>
    </w:p>
    <w:p w:rsidR="00000000" w:rsidDel="00000000" w:rsidP="00000000" w:rsidRDefault="00000000" w:rsidRPr="00000000" w14:paraId="0000005E">
      <w:pPr>
        <w:spacing w:line="240"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numPr>
          <w:ilvl w:val="0"/>
          <w:numId w:val="5"/>
        </w:numPr>
        <w:spacing w:line="480" w:lineRule="auto"/>
        <w:ind w:left="1440" w:hanging="360"/>
        <w:rPr>
          <w:rFonts w:ascii="Calibri" w:cs="Calibri" w:eastAsia="Calibri" w:hAnsi="Calibri"/>
        </w:rPr>
      </w:pPr>
      <w:r w:rsidDel="00000000" w:rsidR="00000000" w:rsidRPr="00000000">
        <w:rPr>
          <w:rFonts w:ascii="Calibri" w:cs="Calibri" w:eastAsia="Calibri" w:hAnsi="Calibri"/>
          <w:i w:val="1"/>
          <w:iCs w:val="1"/>
          <w:rtl w:val="0"/>
        </w:rPr>
        <w:t xml:space="preserve">UK Government Web Archive</w:t>
      </w:r>
      <w:r w:rsidDel="00000000" w:rsidR="00000000" w:rsidRPr="00000000">
        <w:rPr>
          <w:rFonts w:ascii="Calibri" w:cs="Calibri" w:eastAsia="Calibri" w:hAnsi="Calibri"/>
          <w:rtl w:val="0"/>
        </w:rPr>
        <w:t xml:space="preserve">. (s. f.). </w:t>
      </w:r>
      <w:hyperlink r:id="rId12">
        <w:r w:rsidDel="00000000" w:rsidR="00000000" w:rsidRPr="00000000">
          <w:rPr>
            <w:rFonts w:ascii="Calibri" w:cs="Calibri" w:eastAsia="Calibri" w:hAnsi="Calibri"/>
            <w:color w:val="0000ff"/>
            <w:u w:val="single"/>
            <w:rtl w:val="0"/>
          </w:rPr>
          <w:t xml:space="preserve">https://webarchive.nationalarchives.gov.uk/ukgwa/20130502102046/http://www.connectingforhealth.nhs.uk/</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60">
      <w:pPr>
        <w:numPr>
          <w:ilvl w:val="0"/>
          <w:numId w:val="5"/>
        </w:numPr>
        <w:spacing w:line="48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National Programme for IT inthe NHS: Progress since 2006. (2009). En </w:t>
      </w:r>
      <w:r w:rsidDel="00000000" w:rsidR="00000000" w:rsidRPr="00000000">
        <w:rPr>
          <w:rFonts w:ascii="Calibri" w:cs="Calibri" w:eastAsia="Calibri" w:hAnsi="Calibri"/>
          <w:i w:val="1"/>
          <w:iCs w:val="1"/>
          <w:rtl w:val="0"/>
        </w:rPr>
        <w:t xml:space="preserve">UK Parliament</w:t>
      </w:r>
      <w:r w:rsidDel="00000000" w:rsidR="00000000" w:rsidRPr="00000000">
        <w:rPr>
          <w:rFonts w:ascii="Calibri" w:cs="Calibri" w:eastAsia="Calibri" w:hAnsi="Calibri"/>
          <w:rtl w:val="0"/>
        </w:rPr>
        <w:t xml:space="preserve">. </w:t>
      </w:r>
      <w:hyperlink r:id="rId13">
        <w:r w:rsidDel="00000000" w:rsidR="00000000" w:rsidRPr="00000000">
          <w:rPr>
            <w:rFonts w:ascii="Calibri" w:cs="Calibri" w:eastAsia="Calibri" w:hAnsi="Calibri"/>
            <w:color w:val="0000ff"/>
            <w:u w:val="single"/>
            <w:rtl w:val="0"/>
          </w:rPr>
          <w:t xml:space="preserve">https://publications.parliament.uk/pa/cm200809/cmselect/cmpubacc/153/153.pdf</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61">
      <w:pPr>
        <w:numPr>
          <w:ilvl w:val="0"/>
          <w:numId w:val="5"/>
        </w:numPr>
        <w:spacing w:line="480" w:lineRule="auto"/>
        <w:ind w:left="1440" w:hanging="360"/>
        <w:rPr>
          <w:rFonts w:ascii="Calibri" w:cs="Calibri" w:eastAsia="Calibri" w:hAnsi="Calibri"/>
        </w:rPr>
      </w:pPr>
      <w:r w:rsidDel="00000000" w:rsidR="00000000" w:rsidRPr="00000000">
        <w:rPr>
          <w:rFonts w:ascii="Calibri" w:cs="Calibri" w:eastAsia="Calibri" w:hAnsi="Calibri"/>
          <w:i w:val="1"/>
          <w:iCs w:val="1"/>
          <w:rtl w:val="0"/>
        </w:rPr>
        <w:t xml:space="preserve">NHS Cancels £12 Billion IT Program</w:t>
      </w:r>
      <w:r w:rsidDel="00000000" w:rsidR="00000000" w:rsidRPr="00000000">
        <w:rPr>
          <w:rFonts w:ascii="Calibri" w:cs="Calibri" w:eastAsia="Calibri" w:hAnsi="Calibri"/>
          <w:rtl w:val="0"/>
        </w:rPr>
        <w:t xml:space="preserve">. (s. f.). The Common Wealth Fund. </w:t>
      </w:r>
      <w:hyperlink r:id="rId14">
        <w:r w:rsidDel="00000000" w:rsidR="00000000" w:rsidRPr="00000000">
          <w:rPr>
            <w:rFonts w:ascii="Calibri" w:cs="Calibri" w:eastAsia="Calibri" w:hAnsi="Calibri"/>
            <w:color w:val="0000ff"/>
            <w:u w:val="single"/>
            <w:rtl w:val="0"/>
          </w:rPr>
          <w:t xml:space="preserve">https://www.commonwealthfund.org/publications/newsletter-article/nhs-cancels-ps12-billion-it-program</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2">
      <w:pPr>
        <w:spacing w:line="360" w:lineRule="auto"/>
        <w:ind w:left="360" w:firstLine="0"/>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63">
      <w:pPr>
        <w:spacing w:line="360" w:lineRule="auto"/>
        <w:ind w:left="360" w:firstLine="0"/>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Duración de la actividad</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30 minutos</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64">
      <w:pPr>
        <w:rPr>
          <w:color w:val="111827"/>
          <w:sz w:val="18"/>
          <w:szCs w:val="18"/>
        </w:rPr>
      </w:pPr>
      <w:r w:rsidDel="00000000" w:rsidR="00000000" w:rsidRPr="00000000">
        <w:br w:type="page"/>
      </w:r>
      <w:r w:rsidDel="00000000" w:rsidR="00000000" w:rsidRPr="00000000">
        <w:rPr>
          <w:color w:val="111827"/>
          <w:sz w:val="18"/>
          <w:szCs w:val="18"/>
          <w:rtl w:val="0"/>
        </w:rPr>
        <w:t xml:space="preserve">Equipo 1</w:t>
      </w:r>
    </w:p>
    <w:p w:rsidR="00000000" w:rsidDel="00000000" w:rsidP="00000000" w:rsidRDefault="00000000" w:rsidRPr="00000000" w14:paraId="00000065">
      <w:pPr>
        <w:numPr>
          <w:ilvl w:val="0"/>
          <w:numId w:val="3"/>
        </w:numPr>
        <w:pBdr>
          <w:top w:color="auto" w:space="6" w:sz="0" w:val="none"/>
          <w:bottom w:color="auto" w:space="6" w:sz="0" w:val="none"/>
          <w:right w:color="auto" w:space="4" w:sz="0" w:val="none"/>
          <w:between w:color="auto" w:space="6" w:sz="0" w:val="none"/>
        </w:pBdr>
        <w:shd w:fill="ffffff" w:val="clear"/>
        <w:ind w:left="720" w:hanging="360"/>
        <w:rPr>
          <w:sz w:val="18"/>
          <w:szCs w:val="18"/>
        </w:rPr>
      </w:pPr>
      <w:r w:rsidDel="00000000" w:rsidR="00000000" w:rsidRPr="00000000">
        <w:rPr>
          <w:color w:val="111827"/>
          <w:sz w:val="18"/>
          <w:szCs w:val="18"/>
          <w:rtl w:val="0"/>
        </w:rPr>
        <w:t xml:space="preserve"> ANGIE PAOLA FAJARDO CUADROS</w:t>
      </w:r>
    </w:p>
    <w:p w:rsidR="00000000" w:rsidDel="00000000" w:rsidP="00000000" w:rsidRDefault="00000000" w:rsidRPr="00000000" w14:paraId="00000066">
      <w:pPr>
        <w:numPr>
          <w:ilvl w:val="0"/>
          <w:numId w:val="3"/>
        </w:numPr>
        <w:pBdr>
          <w:top w:color="auto" w:space="6" w:sz="0" w:val="none"/>
          <w:bottom w:color="auto" w:space="6" w:sz="0" w:val="none"/>
          <w:right w:color="auto" w:space="4" w:sz="0" w:val="none"/>
          <w:between w:color="auto" w:space="6" w:sz="0" w:val="none"/>
        </w:pBdr>
        <w:shd w:fill="ffffff" w:val="clear"/>
        <w:ind w:left="720" w:hanging="360"/>
        <w:rPr>
          <w:sz w:val="18"/>
          <w:szCs w:val="18"/>
        </w:rPr>
      </w:pPr>
      <w:r w:rsidDel="00000000" w:rsidR="00000000" w:rsidRPr="00000000">
        <w:rPr>
          <w:color w:val="111827"/>
          <w:sz w:val="18"/>
          <w:szCs w:val="18"/>
          <w:rtl w:val="0"/>
        </w:rPr>
        <w:t xml:space="preserve"> FRANK MARTINEZ DUARTE</w:t>
      </w:r>
    </w:p>
    <w:p w:rsidR="00000000" w:rsidDel="00000000" w:rsidP="00000000" w:rsidRDefault="00000000" w:rsidRPr="00000000" w14:paraId="00000067">
      <w:pPr>
        <w:pStyle w:val="Heading5"/>
        <w:keepNext w:val="0"/>
        <w:keepLines w:val="0"/>
        <w:pBdr>
          <w:top w:color="auto" w:space="10" w:sz="0" w:val="none"/>
          <w:left w:color="auto" w:space="10" w:sz="0" w:val="none"/>
          <w:bottom w:color="auto" w:space="10" w:sz="0" w:val="none"/>
          <w:right w:color="auto" w:space="10" w:sz="0" w:val="none"/>
          <w:between w:color="auto" w:space="10" w:sz="0" w:val="none"/>
        </w:pBdr>
        <w:shd w:fill="eeeeee" w:val="clear"/>
        <w:spacing w:after="0" w:before="0" w:line="288" w:lineRule="auto"/>
        <w:rPr>
          <w:color w:val="111827"/>
          <w:sz w:val="18"/>
          <w:szCs w:val="18"/>
        </w:rPr>
      </w:pPr>
      <w:bookmarkStart w:colFirst="0" w:colLast="0" w:name="_5qz6lhb4kbst" w:id="0"/>
      <w:bookmarkEnd w:id="0"/>
      <w:r w:rsidDel="00000000" w:rsidR="00000000" w:rsidRPr="00000000">
        <w:rPr>
          <w:color w:val="111827"/>
          <w:sz w:val="18"/>
          <w:szCs w:val="18"/>
          <w:rtl w:val="0"/>
        </w:rPr>
        <w:t xml:space="preserve">equipo 2</w:t>
      </w:r>
    </w:p>
    <w:p w:rsidR="00000000" w:rsidDel="00000000" w:rsidP="00000000" w:rsidRDefault="00000000" w:rsidRPr="00000000" w14:paraId="00000068">
      <w:pPr>
        <w:numPr>
          <w:ilvl w:val="0"/>
          <w:numId w:val="1"/>
        </w:numPr>
        <w:pBdr>
          <w:top w:color="auto" w:space="6" w:sz="0" w:val="none"/>
          <w:bottom w:color="auto" w:space="6" w:sz="0" w:val="none"/>
          <w:right w:color="auto" w:space="4" w:sz="0" w:val="none"/>
          <w:between w:color="auto" w:space="6" w:sz="0" w:val="none"/>
        </w:pBdr>
        <w:shd w:fill="ffffff" w:val="clear"/>
        <w:ind w:left="720" w:hanging="360"/>
        <w:rPr>
          <w:sz w:val="18"/>
          <w:szCs w:val="18"/>
        </w:rPr>
      </w:pPr>
      <w:r w:rsidDel="00000000" w:rsidR="00000000" w:rsidRPr="00000000">
        <w:rPr>
          <w:color w:val="111827"/>
          <w:sz w:val="18"/>
          <w:szCs w:val="18"/>
          <w:rtl w:val="0"/>
        </w:rPr>
        <w:t xml:space="preserve"> LUIS ALBERTO OSPINA MONTERO</w:t>
      </w:r>
    </w:p>
    <w:p w:rsidR="00000000" w:rsidDel="00000000" w:rsidP="00000000" w:rsidRDefault="00000000" w:rsidRPr="00000000" w14:paraId="00000069">
      <w:pPr>
        <w:numPr>
          <w:ilvl w:val="0"/>
          <w:numId w:val="1"/>
        </w:numPr>
        <w:pBdr>
          <w:top w:color="auto" w:space="6" w:sz="0" w:val="none"/>
          <w:bottom w:color="auto" w:space="6" w:sz="0" w:val="none"/>
          <w:right w:color="auto" w:space="4" w:sz="0" w:val="none"/>
          <w:between w:color="auto" w:space="6" w:sz="0" w:val="none"/>
        </w:pBdr>
        <w:shd w:fill="ffffff" w:val="clear"/>
        <w:ind w:left="720" w:hanging="360"/>
        <w:rPr>
          <w:sz w:val="18"/>
          <w:szCs w:val="18"/>
        </w:rPr>
      </w:pPr>
      <w:r w:rsidDel="00000000" w:rsidR="00000000" w:rsidRPr="00000000">
        <w:rPr>
          <w:color w:val="111827"/>
          <w:sz w:val="18"/>
          <w:szCs w:val="18"/>
          <w:rtl w:val="0"/>
        </w:rPr>
        <w:t xml:space="preserve"> JUAN DAVID CONTRERAS AMAYA</w:t>
      </w:r>
    </w:p>
    <w:p w:rsidR="00000000" w:rsidDel="00000000" w:rsidP="00000000" w:rsidRDefault="00000000" w:rsidRPr="00000000" w14:paraId="0000006A">
      <w:pPr>
        <w:pStyle w:val="Heading5"/>
        <w:keepNext w:val="0"/>
        <w:keepLines w:val="0"/>
        <w:pBdr>
          <w:top w:color="auto" w:space="10" w:sz="0" w:val="none"/>
          <w:left w:color="auto" w:space="10" w:sz="0" w:val="none"/>
          <w:bottom w:color="auto" w:space="10" w:sz="0" w:val="none"/>
          <w:right w:color="auto" w:space="10" w:sz="0" w:val="none"/>
          <w:between w:color="auto" w:space="10" w:sz="0" w:val="none"/>
        </w:pBdr>
        <w:shd w:fill="eeeeee" w:val="clear"/>
        <w:spacing w:after="0" w:before="0" w:line="288" w:lineRule="auto"/>
        <w:rPr>
          <w:color w:val="111827"/>
          <w:sz w:val="18"/>
          <w:szCs w:val="18"/>
        </w:rPr>
      </w:pPr>
      <w:bookmarkStart w:colFirst="0" w:colLast="0" w:name="_uxb7hdgyi4hx" w:id="1"/>
      <w:bookmarkEnd w:id="1"/>
      <w:r w:rsidDel="00000000" w:rsidR="00000000" w:rsidRPr="00000000">
        <w:rPr>
          <w:color w:val="111827"/>
          <w:sz w:val="18"/>
          <w:szCs w:val="18"/>
          <w:rtl w:val="0"/>
        </w:rPr>
        <w:t xml:space="preserve">equipo 3</w:t>
      </w:r>
    </w:p>
    <w:p w:rsidR="00000000" w:rsidDel="00000000" w:rsidP="00000000" w:rsidRDefault="00000000" w:rsidRPr="00000000" w14:paraId="0000006B">
      <w:pPr>
        <w:numPr>
          <w:ilvl w:val="0"/>
          <w:numId w:val="7"/>
        </w:numPr>
        <w:pBdr>
          <w:top w:color="auto" w:space="6" w:sz="0" w:val="none"/>
          <w:bottom w:color="auto" w:space="6" w:sz="0" w:val="none"/>
          <w:right w:color="auto" w:space="4" w:sz="0" w:val="none"/>
          <w:between w:color="auto" w:space="6" w:sz="0" w:val="none"/>
        </w:pBdr>
        <w:shd w:fill="ffffff" w:val="clear"/>
        <w:ind w:left="720" w:hanging="360"/>
        <w:rPr>
          <w:sz w:val="18"/>
          <w:szCs w:val="18"/>
        </w:rPr>
      </w:pPr>
      <w:r w:rsidDel="00000000" w:rsidR="00000000" w:rsidRPr="00000000">
        <w:rPr>
          <w:color w:val="111827"/>
          <w:sz w:val="18"/>
          <w:szCs w:val="18"/>
          <w:rtl w:val="0"/>
        </w:rPr>
        <w:t xml:space="preserve"> DARWIN SANTIAGO RAMIREZ BARRAGAN</w:t>
      </w:r>
    </w:p>
    <w:p w:rsidR="00000000" w:rsidDel="00000000" w:rsidP="00000000" w:rsidRDefault="00000000" w:rsidRPr="00000000" w14:paraId="0000006C">
      <w:pPr>
        <w:numPr>
          <w:ilvl w:val="0"/>
          <w:numId w:val="7"/>
        </w:numPr>
        <w:pBdr>
          <w:top w:color="auto" w:space="6" w:sz="0" w:val="none"/>
          <w:bottom w:color="auto" w:space="6" w:sz="0" w:val="none"/>
          <w:right w:color="auto" w:space="4" w:sz="0" w:val="none"/>
          <w:between w:color="auto" w:space="6" w:sz="0" w:val="none"/>
        </w:pBdr>
        <w:shd w:fill="ffffff" w:val="clear"/>
        <w:ind w:left="720" w:hanging="360"/>
        <w:rPr>
          <w:sz w:val="18"/>
          <w:szCs w:val="18"/>
        </w:rPr>
      </w:pPr>
      <w:r w:rsidDel="00000000" w:rsidR="00000000" w:rsidRPr="00000000">
        <w:rPr>
          <w:color w:val="111827"/>
          <w:sz w:val="18"/>
          <w:szCs w:val="18"/>
          <w:rtl w:val="0"/>
        </w:rPr>
        <w:t xml:space="preserve"> MARIA FERNANDA NOGALES RAMIREZ</w:t>
      </w:r>
    </w:p>
    <w:p w:rsidR="00000000" w:rsidDel="00000000" w:rsidP="00000000" w:rsidRDefault="00000000" w:rsidRPr="00000000" w14:paraId="0000006D">
      <w:pPr>
        <w:pStyle w:val="Heading5"/>
        <w:keepNext w:val="0"/>
        <w:keepLines w:val="0"/>
        <w:pBdr>
          <w:top w:color="auto" w:space="10" w:sz="0" w:val="none"/>
          <w:left w:color="auto" w:space="10" w:sz="0" w:val="none"/>
          <w:bottom w:color="auto" w:space="10" w:sz="0" w:val="none"/>
          <w:right w:color="auto" w:space="10" w:sz="0" w:val="none"/>
          <w:between w:color="auto" w:space="10" w:sz="0" w:val="none"/>
        </w:pBdr>
        <w:shd w:fill="eeeeee" w:val="clear"/>
        <w:spacing w:after="0" w:before="0" w:line="288" w:lineRule="auto"/>
        <w:rPr>
          <w:color w:val="111827"/>
          <w:sz w:val="18"/>
          <w:szCs w:val="18"/>
        </w:rPr>
      </w:pPr>
      <w:bookmarkStart w:colFirst="0" w:colLast="0" w:name="_mgtqjsnx99bl" w:id="2"/>
      <w:bookmarkEnd w:id="2"/>
      <w:r w:rsidDel="00000000" w:rsidR="00000000" w:rsidRPr="00000000">
        <w:rPr>
          <w:color w:val="111827"/>
          <w:sz w:val="18"/>
          <w:szCs w:val="18"/>
          <w:rtl w:val="0"/>
        </w:rPr>
        <w:t xml:space="preserve">equipo 4</w:t>
      </w:r>
    </w:p>
    <w:p w:rsidR="00000000" w:rsidDel="00000000" w:rsidP="00000000" w:rsidRDefault="00000000" w:rsidRPr="00000000" w14:paraId="0000006E">
      <w:pPr>
        <w:numPr>
          <w:ilvl w:val="0"/>
          <w:numId w:val="4"/>
        </w:numPr>
        <w:pBdr>
          <w:top w:color="auto" w:space="6" w:sz="0" w:val="none"/>
          <w:bottom w:color="auto" w:space="6" w:sz="0" w:val="none"/>
          <w:right w:color="auto" w:space="4" w:sz="0" w:val="none"/>
          <w:between w:color="auto" w:space="6" w:sz="0" w:val="none"/>
        </w:pBdr>
        <w:shd w:fill="ffffff" w:val="clear"/>
        <w:ind w:left="720" w:hanging="360"/>
        <w:rPr>
          <w:sz w:val="18"/>
          <w:szCs w:val="18"/>
        </w:rPr>
      </w:pPr>
      <w:r w:rsidDel="00000000" w:rsidR="00000000" w:rsidRPr="00000000">
        <w:rPr>
          <w:color w:val="111827"/>
          <w:sz w:val="18"/>
          <w:szCs w:val="18"/>
          <w:rtl w:val="0"/>
        </w:rPr>
        <w:t xml:space="preserve"> SHEYDER DANIEL SIERRA GALEANO</w:t>
      </w:r>
    </w:p>
    <w:p w:rsidR="00000000" w:rsidDel="00000000" w:rsidP="00000000" w:rsidRDefault="00000000" w:rsidRPr="00000000" w14:paraId="0000006F">
      <w:pPr>
        <w:numPr>
          <w:ilvl w:val="0"/>
          <w:numId w:val="4"/>
        </w:numPr>
        <w:pBdr>
          <w:top w:color="auto" w:space="6" w:sz="0" w:val="none"/>
          <w:bottom w:color="auto" w:space="6" w:sz="0" w:val="none"/>
          <w:right w:color="auto" w:space="4" w:sz="0" w:val="none"/>
          <w:between w:color="auto" w:space="6" w:sz="0" w:val="none"/>
        </w:pBdr>
        <w:shd w:fill="ffffff" w:val="clear"/>
        <w:ind w:left="720" w:hanging="360"/>
        <w:rPr>
          <w:sz w:val="18"/>
          <w:szCs w:val="18"/>
        </w:rPr>
      </w:pPr>
      <w:r w:rsidDel="00000000" w:rsidR="00000000" w:rsidRPr="00000000">
        <w:rPr>
          <w:color w:val="111827"/>
          <w:sz w:val="18"/>
          <w:szCs w:val="18"/>
          <w:rtl w:val="0"/>
        </w:rPr>
        <w:t xml:space="preserve"> JESUS DANIEL REYES TOBASURA</w:t>
      </w:r>
    </w:p>
    <w:p w:rsidR="00000000" w:rsidDel="00000000" w:rsidP="00000000" w:rsidRDefault="00000000" w:rsidRPr="00000000" w14:paraId="00000070">
      <w:pPr>
        <w:pStyle w:val="Heading5"/>
        <w:keepNext w:val="0"/>
        <w:keepLines w:val="0"/>
        <w:pBdr>
          <w:top w:color="auto" w:space="10" w:sz="0" w:val="none"/>
          <w:left w:color="auto" w:space="10" w:sz="0" w:val="none"/>
          <w:bottom w:color="auto" w:space="10" w:sz="0" w:val="none"/>
          <w:right w:color="auto" w:space="10" w:sz="0" w:val="none"/>
          <w:between w:color="auto" w:space="10" w:sz="0" w:val="none"/>
        </w:pBdr>
        <w:shd w:fill="eeeeee" w:val="clear"/>
        <w:spacing w:after="0" w:before="0" w:line="288" w:lineRule="auto"/>
        <w:rPr>
          <w:color w:val="111827"/>
          <w:sz w:val="18"/>
          <w:szCs w:val="18"/>
        </w:rPr>
      </w:pPr>
      <w:bookmarkStart w:colFirst="0" w:colLast="0" w:name="_pph82w2xaejj" w:id="3"/>
      <w:bookmarkEnd w:id="3"/>
      <w:r w:rsidDel="00000000" w:rsidR="00000000" w:rsidRPr="00000000">
        <w:rPr>
          <w:color w:val="111827"/>
          <w:sz w:val="18"/>
          <w:szCs w:val="18"/>
          <w:rtl w:val="0"/>
        </w:rPr>
        <w:t xml:space="preserve">equipo 5</w:t>
      </w:r>
    </w:p>
    <w:p w:rsidR="00000000" w:rsidDel="00000000" w:rsidP="00000000" w:rsidRDefault="00000000" w:rsidRPr="00000000" w14:paraId="00000071">
      <w:pPr>
        <w:numPr>
          <w:ilvl w:val="0"/>
          <w:numId w:val="2"/>
        </w:numPr>
        <w:pBdr>
          <w:top w:color="auto" w:space="6" w:sz="0" w:val="none"/>
          <w:bottom w:color="auto" w:space="6" w:sz="0" w:val="none"/>
          <w:right w:color="auto" w:space="4" w:sz="0" w:val="none"/>
          <w:between w:color="auto" w:space="6" w:sz="0" w:val="none"/>
        </w:pBdr>
        <w:shd w:fill="ffffff" w:val="clear"/>
        <w:ind w:left="720" w:hanging="360"/>
        <w:rPr>
          <w:sz w:val="18"/>
          <w:szCs w:val="18"/>
        </w:rPr>
      </w:pPr>
      <w:r w:rsidDel="00000000" w:rsidR="00000000" w:rsidRPr="00000000">
        <w:rPr>
          <w:color w:val="111827"/>
          <w:sz w:val="18"/>
          <w:szCs w:val="18"/>
          <w:rtl w:val="0"/>
        </w:rPr>
        <w:t xml:space="preserve"> JUAN SEBASTIAN VARGAS LOZANO</w:t>
      </w:r>
    </w:p>
    <w:p w:rsidR="00000000" w:rsidDel="00000000" w:rsidP="00000000" w:rsidRDefault="00000000" w:rsidRPr="00000000" w14:paraId="00000072">
      <w:pPr>
        <w:numPr>
          <w:ilvl w:val="0"/>
          <w:numId w:val="2"/>
        </w:numPr>
        <w:pBdr>
          <w:top w:color="auto" w:space="6" w:sz="0" w:val="none"/>
          <w:bottom w:color="auto" w:space="6" w:sz="0" w:val="none"/>
          <w:right w:color="auto" w:space="4" w:sz="0" w:val="none"/>
          <w:between w:color="auto" w:space="6" w:sz="0" w:val="none"/>
        </w:pBdr>
        <w:shd w:fill="ffffff" w:val="clear"/>
        <w:ind w:left="720" w:hanging="360"/>
        <w:rPr>
          <w:sz w:val="18"/>
          <w:szCs w:val="18"/>
        </w:rPr>
      </w:pPr>
      <w:r w:rsidDel="00000000" w:rsidR="00000000" w:rsidRPr="00000000">
        <w:rPr>
          <w:color w:val="111827"/>
          <w:sz w:val="18"/>
          <w:szCs w:val="18"/>
          <w:rtl w:val="0"/>
        </w:rPr>
        <w:t xml:space="preserve"> BRAYAN FELIPE VEGA PEREZ</w:t>
      </w:r>
    </w:p>
    <w:p w:rsidR="00000000" w:rsidDel="00000000" w:rsidP="00000000" w:rsidRDefault="00000000" w:rsidRPr="00000000" w14:paraId="00000073">
      <w:pPr>
        <w:pStyle w:val="Heading5"/>
        <w:keepNext w:val="0"/>
        <w:keepLines w:val="0"/>
        <w:pBdr>
          <w:top w:color="auto" w:space="10" w:sz="0" w:val="none"/>
          <w:left w:color="auto" w:space="10" w:sz="0" w:val="none"/>
          <w:bottom w:color="auto" w:space="10" w:sz="0" w:val="none"/>
          <w:right w:color="auto" w:space="10" w:sz="0" w:val="none"/>
          <w:between w:color="auto" w:space="10" w:sz="0" w:val="none"/>
        </w:pBdr>
        <w:shd w:fill="eeeeee" w:val="clear"/>
        <w:spacing w:after="0" w:before="0" w:line="288" w:lineRule="auto"/>
        <w:rPr>
          <w:color w:val="111827"/>
          <w:sz w:val="18"/>
          <w:szCs w:val="18"/>
        </w:rPr>
      </w:pPr>
      <w:bookmarkStart w:colFirst="0" w:colLast="0" w:name="_eanmgztrpry" w:id="4"/>
      <w:bookmarkEnd w:id="4"/>
      <w:r w:rsidDel="00000000" w:rsidR="00000000" w:rsidRPr="00000000">
        <w:rPr>
          <w:color w:val="111827"/>
          <w:sz w:val="18"/>
          <w:szCs w:val="18"/>
          <w:rtl w:val="0"/>
        </w:rPr>
        <w:t xml:space="preserve">equipo 6</w:t>
      </w:r>
    </w:p>
    <w:p w:rsidR="00000000" w:rsidDel="00000000" w:rsidP="00000000" w:rsidRDefault="00000000" w:rsidRPr="00000000" w14:paraId="00000074">
      <w:pPr>
        <w:numPr>
          <w:ilvl w:val="0"/>
          <w:numId w:val="11"/>
        </w:numPr>
        <w:pBdr>
          <w:top w:color="auto" w:space="6" w:sz="0" w:val="none"/>
          <w:bottom w:color="auto" w:space="6" w:sz="0" w:val="none"/>
          <w:right w:color="auto" w:space="4" w:sz="0" w:val="none"/>
          <w:between w:color="auto" w:space="6" w:sz="0" w:val="none"/>
        </w:pBdr>
        <w:shd w:fill="ffffff" w:val="clear"/>
        <w:ind w:left="720" w:hanging="360"/>
        <w:rPr>
          <w:sz w:val="18"/>
          <w:szCs w:val="18"/>
        </w:rPr>
      </w:pPr>
      <w:r w:rsidDel="00000000" w:rsidR="00000000" w:rsidRPr="00000000">
        <w:rPr>
          <w:color w:val="111827"/>
          <w:sz w:val="18"/>
          <w:szCs w:val="18"/>
          <w:rtl w:val="0"/>
        </w:rPr>
        <w:t xml:space="preserve"> ADRIAN FELIPE HERNANDEZ GARZON</w:t>
      </w:r>
    </w:p>
    <w:p w:rsidR="00000000" w:rsidDel="00000000" w:rsidP="00000000" w:rsidRDefault="00000000" w:rsidRPr="00000000" w14:paraId="00000075">
      <w:pPr>
        <w:numPr>
          <w:ilvl w:val="0"/>
          <w:numId w:val="11"/>
        </w:numPr>
        <w:pBdr>
          <w:top w:color="auto" w:space="6" w:sz="0" w:val="none"/>
          <w:bottom w:color="auto" w:space="6" w:sz="0" w:val="none"/>
          <w:right w:color="auto" w:space="4" w:sz="0" w:val="none"/>
          <w:between w:color="auto" w:space="6" w:sz="0" w:val="none"/>
        </w:pBdr>
        <w:shd w:fill="ffffff" w:val="clear"/>
        <w:ind w:left="720" w:hanging="360"/>
        <w:rPr>
          <w:sz w:val="18"/>
          <w:szCs w:val="18"/>
        </w:rPr>
      </w:pPr>
      <w:r w:rsidDel="00000000" w:rsidR="00000000" w:rsidRPr="00000000">
        <w:rPr>
          <w:color w:val="111827"/>
          <w:sz w:val="18"/>
          <w:szCs w:val="18"/>
          <w:rtl w:val="0"/>
        </w:rPr>
        <w:t xml:space="preserve"> PAULA CAMILA SUAREZ RAMOS</w:t>
      </w:r>
    </w:p>
    <w:p w:rsidR="00000000" w:rsidDel="00000000" w:rsidP="00000000" w:rsidRDefault="00000000" w:rsidRPr="00000000" w14:paraId="00000076">
      <w:pPr>
        <w:numPr>
          <w:ilvl w:val="0"/>
          <w:numId w:val="11"/>
        </w:numPr>
        <w:pBdr>
          <w:top w:color="auto" w:space="6" w:sz="0" w:val="none"/>
          <w:bottom w:color="auto" w:space="6" w:sz="0" w:val="none"/>
          <w:right w:color="auto" w:space="4" w:sz="0" w:val="none"/>
          <w:between w:color="auto" w:space="6" w:sz="0" w:val="none"/>
        </w:pBdr>
        <w:shd w:fill="ffffff" w:val="clear"/>
        <w:ind w:left="720" w:hanging="360"/>
        <w:rPr>
          <w:sz w:val="18"/>
          <w:szCs w:val="18"/>
        </w:rPr>
      </w:pPr>
      <w:r w:rsidDel="00000000" w:rsidR="00000000" w:rsidRPr="00000000">
        <w:rPr>
          <w:color w:val="111827"/>
          <w:sz w:val="18"/>
          <w:szCs w:val="18"/>
          <w:rtl w:val="0"/>
        </w:rPr>
        <w:t xml:space="preserve"> KEVIN ADRIAN ENCISO ENCISO</w:t>
      </w:r>
    </w:p>
    <w:p w:rsidR="00000000" w:rsidDel="00000000" w:rsidP="00000000" w:rsidRDefault="00000000" w:rsidRPr="00000000" w14:paraId="00000077">
      <w:pPr>
        <w:rPr>
          <w:rFonts w:ascii="Calibri" w:cs="Calibri" w:eastAsia="Calibri" w:hAnsi="Calibri"/>
        </w:rPr>
      </w:pPr>
      <w:r w:rsidDel="00000000" w:rsidR="00000000" w:rsidRPr="00000000">
        <w:rPr>
          <w:rtl w:val="0"/>
        </w:rPr>
      </w:r>
    </w:p>
    <w:sectPr>
      <w:pgSz w:h="15840" w:w="12240"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111827"/>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111827"/>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111827"/>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111827"/>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111827"/>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111827"/>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NHS_Connecting_for_Health" TargetMode="External"/><Relationship Id="rId10" Type="http://schemas.openxmlformats.org/officeDocument/2006/relationships/hyperlink" Target="https://www.henricodolfing.ch/en/case-study-1-the-10-billion-it-disaster-at-the-nhs/" TargetMode="External"/><Relationship Id="rId13" Type="http://schemas.openxmlformats.org/officeDocument/2006/relationships/hyperlink" Target="https://publications.parliament.uk/pa/cm200809/cmselect/cmpubacc/153/153.pdf" TargetMode="External"/><Relationship Id="rId12" Type="http://schemas.openxmlformats.org/officeDocument/2006/relationships/hyperlink" Target="https://webarchive.nationalarchives.gov.uk/ukgwa/20130502102046/http://www.connectingforhealth.nhs.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guardian.com/society/2013/sep/18/nhs-records-system-10bn" TargetMode="External"/><Relationship Id="rId14" Type="http://schemas.openxmlformats.org/officeDocument/2006/relationships/hyperlink" Target="https://www.commonwealthfund.org/publications/newsletter-article/nhs-cancels-ps12-billion-it-progra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F0EZX9G8q5HC6dBw39kU14tY6fFvtd5M/edit?usp=sharing&amp;ouid=102656290924185163432&amp;rtpof=true&amp;sd=true"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