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2480" w:right="0" w:firstLine="0"/>
        <w:jc w:val="left"/>
      </w:pPr>
      <w:bookmarkStart w:id="0" w:name="bookmark0"/>
      <w:r>
        <w:rPr>
          <w:spacing w:val="0"/>
          <w:position w:val="0"/>
          <w:shd w:val="clear" w:color="auto" w:fill="auto"/>
          <w:lang w:val="en-US" w:eastAsia="en-US" w:bidi="en-US"/>
        </w:rPr>
        <w:t xml:space="preserve">FOOD SECURITY AND AGRICULTURE </w:t>
      </w:r>
      <w:r>
        <w:rPr>
          <w:color w:val="238E9E"/>
          <w:spacing w:val="0"/>
          <w:position w:val="0"/>
          <w:shd w:val="clear" w:color="auto" w:fill="auto"/>
          <w:lang w:val="en-US" w:eastAsia="en-US" w:bidi="en-US"/>
        </w:rPr>
        <w:t>CLUSTER</w:t>
      </w:r>
      <w:bookmarkEnd w:id="0"/>
    </w:p>
    <w:p>
      <w:pPr>
        <w:pStyle w:val="Style8"/>
        <w:keepNext w:val="0"/>
        <w:keepLines w:val="0"/>
        <w:widowControl w:val="0"/>
        <w:shd w:val="clear" w:color="auto" w:fill="auto"/>
        <w:bidi w:val="0"/>
        <w:spacing w:before="0" w:after="820" w:line="240" w:lineRule="auto"/>
        <w:ind w:left="2480" w:right="0" w:firstLine="0"/>
        <w:jc w:val="left"/>
      </w:pPr>
      <w:r>
        <w:rPr>
          <w:spacing w:val="0"/>
          <w:w w:val="100"/>
          <w:position w:val="0"/>
          <w:shd w:val="clear" w:color="auto" w:fill="auto"/>
          <w:lang w:val="en-US" w:eastAsia="en-US" w:bidi="en-US"/>
        </w:rPr>
        <w:t>Strengthening Humanitarian Response</w:t>
      </w:r>
    </w:p>
    <w:p>
      <w:pPr>
        <w:pStyle w:val="Style10"/>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Yemen Food Security and Agriculture Cluster (FSAC)</w:t>
      </w:r>
    </w:p>
    <w:p>
      <w:pPr>
        <w:pStyle w:val="Style10"/>
        <w:keepNext w:val="0"/>
        <w:keepLines w:val="0"/>
        <w:widowControl w:val="0"/>
        <w:shd w:val="clear" w:color="auto" w:fill="auto"/>
        <w:bidi w:val="0"/>
        <w:spacing w:before="0" w:after="820" w:line="240" w:lineRule="auto"/>
        <w:ind w:left="0" w:right="0" w:firstLine="0"/>
        <w:jc w:val="center"/>
      </w:pPr>
      <w:r>
        <w:rPr>
          <w:color w:val="000000"/>
          <w:spacing w:val="0"/>
          <w:w w:val="100"/>
          <w:position w:val="0"/>
          <w:shd w:val="clear" w:color="auto" w:fill="auto"/>
          <w:lang w:val="en-US" w:eastAsia="en-US" w:bidi="en-US"/>
        </w:rPr>
        <w:t>30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August 2019</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H.E. Mr. Othman Hussein Faid Mujli</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Minister of Agriculture and Irrigation</w:t>
      </w:r>
    </w:p>
    <w:p>
      <w:pPr>
        <w:pStyle w:val="Style10"/>
        <w:keepNext w:val="0"/>
        <w:keepLines w:val="0"/>
        <w:widowControl w:val="0"/>
        <w:shd w:val="clear" w:color="auto" w:fill="auto"/>
        <w:bidi w:val="0"/>
        <w:spacing w:before="0" w:after="880" w:line="240" w:lineRule="auto"/>
        <w:ind w:left="0" w:right="0" w:firstLine="0"/>
        <w:jc w:val="left"/>
      </w:pPr>
      <w:r>
        <w:rPr>
          <w:color w:val="000000"/>
          <w:spacing w:val="0"/>
          <w:w w:val="100"/>
          <w:position w:val="0"/>
          <w:shd w:val="clear" w:color="auto" w:fill="auto"/>
          <w:lang w:val="en-US" w:eastAsia="en-US" w:bidi="en-US"/>
        </w:rPr>
        <w:t>Republic of Yemen</w:t>
      </w:r>
    </w:p>
    <w:p>
      <w:pPr>
        <w:pStyle w:val="Style10"/>
        <w:keepNext w:val="0"/>
        <w:keepLines w:val="0"/>
        <w:widowControl w:val="0"/>
        <w:shd w:val="clear" w:color="auto" w:fill="auto"/>
        <w:bidi w:val="0"/>
        <w:spacing w:before="0" w:after="480" w:line="252" w:lineRule="auto"/>
        <w:ind w:left="0" w:right="0" w:firstLine="0"/>
        <w:jc w:val="center"/>
      </w:pPr>
      <w:r>
        <w:rPr>
          <w:b/>
          <w:bCs/>
          <w:color w:val="000000"/>
          <w:spacing w:val="0"/>
          <w:w w:val="100"/>
          <w:position w:val="0"/>
          <w:shd w:val="clear" w:color="auto" w:fill="auto"/>
          <w:lang w:val="en-US" w:eastAsia="en-US" w:bidi="en-US"/>
        </w:rPr>
        <w:t>Subject: Endorsement of the Food Security and Agriculture Cluster to Yemen’s Project</w:t>
        <w:br/>
        <w:t>Proposal to be Submitted for GAFSP Funding</w:t>
      </w:r>
    </w:p>
    <w:p>
      <w:pPr>
        <w:pStyle w:val="Style10"/>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Dear H.E. Mr. Othman Hussein Faid Mujli,</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 behalf of the Food Security and Agriculture Cluster (FSAC) in Yemen, I am pleased to extend you our compliments and congratulations for the successful development of the project proposal entitled </w:t>
      </w: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Strengthening Agriculture Productivity and Resilience Project (SAPReP +)</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 have reviewed the project documents with attention and realize that the project aims at improving the livelihoods, nutrition, and resilience of target rural populations through the implementation of the following components:</w:t>
      </w:r>
    </w:p>
    <w:p>
      <w:pPr>
        <w:pStyle w:val="Style10"/>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Component 1. Small-scale farmers’ access to water and land resources improved</w:t>
      </w:r>
    </w:p>
    <w:p>
      <w:pPr>
        <w:pStyle w:val="Style10"/>
        <w:keepNext w:val="0"/>
        <w:keepLines w:val="0"/>
        <w:widowControl w:val="0"/>
        <w:numPr>
          <w:ilvl w:val="0"/>
          <w:numId w:val="1"/>
        </w:numPr>
        <w:shd w:val="clear" w:color="auto" w:fill="auto"/>
        <w:tabs>
          <w:tab w:pos="740" w:val="left"/>
        </w:tabs>
        <w:bidi w:val="0"/>
        <w:spacing w:before="0" w:after="0"/>
        <w:ind w:left="740" w:right="0" w:hanging="360"/>
        <w:jc w:val="left"/>
      </w:pPr>
      <w:r>
        <w:rPr>
          <w:color w:val="000000"/>
          <w:spacing w:val="0"/>
          <w:w w:val="100"/>
          <w:position w:val="0"/>
          <w:shd w:val="clear" w:color="auto" w:fill="auto"/>
          <w:lang w:val="en-US" w:eastAsia="en-US" w:bidi="en-US"/>
        </w:rPr>
        <w:t>Component 2. Increased performance of nutrition sensitive crop, livestock, and fisheries target value chains</w:t>
      </w:r>
    </w:p>
    <w:p>
      <w:pPr>
        <w:pStyle w:val="Style10"/>
        <w:keepNext w:val="0"/>
        <w:keepLines w:val="0"/>
        <w:widowControl w:val="0"/>
        <w:numPr>
          <w:ilvl w:val="0"/>
          <w:numId w:val="1"/>
        </w:numPr>
        <w:shd w:val="clear" w:color="auto" w:fill="auto"/>
        <w:tabs>
          <w:tab w:pos="740" w:val="left"/>
        </w:tabs>
        <w:bidi w:val="0"/>
        <w:spacing w:before="0" w:after="260"/>
        <w:ind w:left="740" w:right="0" w:hanging="360"/>
        <w:jc w:val="left"/>
      </w:pPr>
      <w:r>
        <w:rPr>
          <w:color w:val="000000"/>
          <w:spacing w:val="0"/>
          <w:w w:val="100"/>
          <w:position w:val="0"/>
          <w:shd w:val="clear" w:color="auto" w:fill="auto"/>
          <w:lang w:val="en-US" w:eastAsia="en-US" w:bidi="en-US"/>
        </w:rPr>
        <w:t>Component 3. Increased household’s adoption of appropriate diet and nutrition practices</w:t>
      </w:r>
    </w:p>
    <w:p>
      <w:pPr>
        <w:pStyle w:val="Style2"/>
        <w:keepNext/>
        <w:keepLines/>
        <w:widowControl w:val="0"/>
        <w:shd w:val="clear" w:color="auto" w:fill="auto"/>
        <w:bidi w:val="0"/>
        <w:spacing w:before="0" w:after="0"/>
        <w:ind w:left="2520" w:right="0" w:firstLine="0"/>
        <w:jc w:val="left"/>
      </w:pPr>
      <w:bookmarkStart w:id="2" w:name="bookmark2"/>
      <w:r>
        <w:rPr>
          <w:spacing w:val="0"/>
          <w:position w:val="0"/>
          <w:shd w:val="clear" w:color="auto" w:fill="auto"/>
          <w:lang w:val="en-US" w:eastAsia="en-US" w:bidi="en-US"/>
        </w:rPr>
        <w:t xml:space="preserve">FOOD SECURITY AND AGRICULTURE </w:t>
      </w:r>
      <w:r>
        <w:rPr>
          <w:color w:val="238E9E"/>
          <w:spacing w:val="0"/>
          <w:position w:val="0"/>
          <w:shd w:val="clear" w:color="auto" w:fill="auto"/>
          <w:lang w:val="en-US" w:eastAsia="en-US" w:bidi="en-US"/>
        </w:rPr>
        <w:t>CLUSTER</w:t>
      </w:r>
      <w:bookmarkEnd w:id="2"/>
    </w:p>
    <w:p>
      <w:pPr>
        <w:pStyle w:val="Style8"/>
        <w:keepNext w:val="0"/>
        <w:keepLines w:val="0"/>
        <w:widowControl w:val="0"/>
        <w:shd w:val="clear" w:color="auto" w:fill="auto"/>
        <w:bidi w:val="0"/>
        <w:spacing w:before="0" w:after="520" w:line="240" w:lineRule="auto"/>
        <w:ind w:left="2520" w:right="0" w:firstLine="0"/>
        <w:jc w:val="left"/>
      </w:pPr>
      <w:r>
        <w:rPr>
          <w:spacing w:val="0"/>
          <w:w w:val="100"/>
          <w:position w:val="0"/>
          <w:shd w:val="clear" w:color="auto" w:fill="auto"/>
          <w:lang w:val="en-US" w:eastAsia="en-US" w:bidi="en-US"/>
        </w:rPr>
        <w:t>Strengthening Humanitarian Response</w:t>
      </w:r>
    </w:p>
    <w:p>
      <w:pPr>
        <w:pStyle w:val="Style10"/>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Component 4. Improved technical capacity of key national and Sub-National agricultural institutions on extension, certification and pest and disease diagnostic and surveillance</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 have analyzed in detail these project components and their planned activities and as a cluster we can attest the criticality and alignment of SAPReP+ interventions with the current needs and priorities of the agriculture and fisheries sectors under the prevailing situation in Yemen. The FSAC membership is composed of a wide array of humanitarian and development donors and organizations, who have been constantly involved in assessing Yemen’s food security situation through robust assessments. Considering the immense importance of the agriculture and fisheries sectors as the back bone of the country’s economy, it is our view that this GAFSP project will build greatly on past and ongoing interventions and initiatives, and its design and geographic targeting plans will avoid duplication of current efforts.</w:t>
      </w:r>
    </w:p>
    <w:p>
      <w:pPr>
        <w:pStyle w:val="Style10"/>
        <w:keepNext w:val="0"/>
        <w:keepLines w:val="0"/>
        <w:widowControl w:val="0"/>
        <w:shd w:val="clear" w:color="auto" w:fill="auto"/>
        <w:bidi w:val="0"/>
        <w:spacing w:before="0" w:after="660"/>
        <w:ind w:left="0" w:right="0" w:firstLine="0"/>
        <w:jc w:val="both"/>
      </w:pPr>
      <w:r>
        <w:rPr>
          <w:color w:val="000000"/>
          <w:spacing w:val="0"/>
          <w:w w:val="100"/>
          <w:position w:val="0"/>
          <w:shd w:val="clear" w:color="auto" w:fill="auto"/>
          <w:lang w:val="en-US" w:eastAsia="en-US" w:bidi="en-US"/>
        </w:rPr>
        <w:t>We hold high hopes for the approval of this proposal and kindly urge the GAFSP Steering Committee to carefully consider funding this project whose interventions are critical for Yemen at this point in time. The proposed actions will greatly enhance the recovery, restoration, and rebuilding of vulnerable households livelihoods through activities that will revitalize productivity and generate regular income.</w:t>
      </w:r>
    </w:p>
    <w:p>
      <w:pPr>
        <w:pStyle w:val="Style10"/>
        <w:keepNext w:val="0"/>
        <w:keepLines w:val="0"/>
        <w:widowControl w:val="0"/>
        <w:shd w:val="clear" w:color="auto" w:fill="auto"/>
        <w:bidi w:val="0"/>
        <w:spacing w:before="0" w:after="820" w:line="240" w:lineRule="auto"/>
        <w:ind w:left="0" w:right="0" w:firstLine="0"/>
        <w:jc w:val="both"/>
      </w:pPr>
      <w:r>
        <w:rPr>
          <w:color w:val="000000"/>
          <w:spacing w:val="0"/>
          <w:w w:val="100"/>
          <w:position w:val="0"/>
          <w:shd w:val="clear" w:color="auto" w:fill="auto"/>
          <w:lang w:val="en-US" w:eastAsia="en-US" w:bidi="en-US"/>
        </w:rPr>
        <w:t>We take the opportunity to share the assurance of our highest esteem.</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Yours sincerely,</w:t>
      </w:r>
    </w:p>
    <w:p>
      <w:pPr>
        <w:widowControl w:val="0"/>
        <w:jc w:val="left"/>
        <w:rPr>
          <w:sz w:val="2"/>
          <w:szCs w:val="2"/>
        </w:rPr>
      </w:pPr>
      <w:r>
        <w:drawing>
          <wp:inline>
            <wp:extent cx="420370" cy="5549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20370" cy="554990"/>
                    </a:xfrm>
                    <a:prstGeom prst="rect"/>
                  </pic:spPr>
                </pic:pic>
              </a:graphicData>
            </a:graphic>
          </wp:inline>
        </w:drawing>
      </w:r>
    </w:p>
    <w:p>
      <w:pPr>
        <w:widowControl w:val="0"/>
        <w:spacing w:after="179" w:line="1" w:lineRule="exact"/>
      </w:pPr>
    </w:p>
    <w:p>
      <w:pPr>
        <w:pStyle w:val="Style10"/>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Gordon Dudi</w:t>
      </w:r>
    </w:p>
    <w:p>
      <w:pPr>
        <w:pStyle w:val="Style10"/>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Yemen Food Security and Agriculture Cluster Coordinator</w:t>
      </w:r>
    </w:p>
    <w:sectPr>
      <w:headerReference w:type="default" r:id="rId7"/>
      <w:footnotePr>
        <w:pos w:val="pageBottom"/>
        <w:numFmt w:val="decimal"/>
        <w:numRestart w:val="continuous"/>
      </w:footnotePr>
      <w:pgSz w:w="12240" w:h="15840"/>
      <w:pgMar w:top="1922" w:right="1414" w:bottom="1410" w:left="1414" w:header="0" w:footer="98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1452245</wp:posOffset>
              </wp:positionH>
              <wp:positionV relativeFrom="page">
                <wp:posOffset>220980</wp:posOffset>
              </wp:positionV>
              <wp:extent cx="993775" cy="920750"/>
              <wp:wrapNone/>
              <wp:docPr id="2" name="Shape 2"/>
              <a:graphic xmlns:a="http://schemas.openxmlformats.org/drawingml/2006/main">
                <a:graphicData uri="http://schemas.microsoft.com/office/word/2010/wordprocessingShape">
                  <wps:wsp>
                    <wps:cNvSpPr txBox="1"/>
                    <wps:spPr>
                      <a:xfrm>
                        <a:ext cx="993775" cy="920750"/>
                      </a:xfrm>
                      <a:prstGeom prst="rect"/>
                      <a:noFill/>
                    </wps:spPr>
                    <wps:txbx>
                      <w:txbxContent>
                        <w:p>
                          <w:pPr>
                            <w:widowControl w:val="0"/>
                            <w:rPr>
                              <w:sz w:val="2"/>
                              <w:szCs w:val="2"/>
                            </w:rPr>
                          </w:pPr>
                          <w:r>
                            <w:drawing>
                              <wp:inline>
                                <wp:extent cx="993775" cy="9207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pic:blipFill>
                                      <pic:spPr>
                                        <a:xfrm>
                                          <a:ext cx="993775" cy="920750"/>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14.35000000000001pt;margin-top:17.400000000000002pt;width:78.25pt;height:72.5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993775" cy="9207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pic:blipFill>
                                <pic:spPr>
                                  <a:xfrm>
                                    <a:ext cx="993775" cy="9207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2528570</wp:posOffset>
              </wp:positionH>
              <wp:positionV relativeFrom="page">
                <wp:posOffset>422275</wp:posOffset>
              </wp:positionV>
              <wp:extent cx="372110" cy="128270"/>
              <wp:wrapNone/>
              <wp:docPr id="6" name="Shape 6"/>
              <a:graphic xmlns:a="http://schemas.openxmlformats.org/drawingml/2006/main">
                <a:graphicData uri="http://schemas.microsoft.com/office/word/2010/wordprocessingShape">
                  <wps:wsp>
                    <wps:cNvSpPr txBox="1"/>
                    <wps:spPr>
                      <a:xfrm>
                        <a:ext cx="372110"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egoe UI" w:eastAsia="Segoe UI" w:hAnsi="Segoe UI" w:cs="Segoe UI"/>
                              <w:b/>
                              <w:bCs/>
                              <w:color w:val="5E96A3"/>
                              <w:spacing w:val="0"/>
                              <w:w w:val="100"/>
                              <w:position w:val="0"/>
                              <w:sz w:val="19"/>
                              <w:szCs w:val="19"/>
                              <w:shd w:val="clear" w:color="auto" w:fill="auto"/>
                              <w:lang w:val="en-US" w:eastAsia="en-US" w:bidi="en-US"/>
                            </w:rPr>
                            <w:t>YEMEN</w:t>
                          </w:r>
                        </w:p>
                      </w:txbxContent>
                    </wps:txbx>
                    <wps:bodyPr wrap="none" lIns="0" tIns="0" rIns="0" bIns="0">
                      <a:spAutoFit/>
                    </wps:bodyPr>
                  </wps:wsp>
                </a:graphicData>
              </a:graphic>
            </wp:anchor>
          </w:drawing>
        </mc:Choice>
        <mc:Fallback>
          <w:pict>
            <v:shape id="_x0000_s1032" type="#_x0000_t202" style="position:absolute;margin-left:199.09999999999999pt;margin-top:33.25pt;width:29.300000000000001pt;height:1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egoe UI" w:eastAsia="Segoe UI" w:hAnsi="Segoe UI" w:cs="Segoe UI"/>
                        <w:b/>
                        <w:bCs/>
                        <w:color w:val="5E96A3"/>
                        <w:spacing w:val="0"/>
                        <w:w w:val="100"/>
                        <w:position w:val="0"/>
                        <w:sz w:val="19"/>
                        <w:szCs w:val="19"/>
                        <w:shd w:val="clear" w:color="auto" w:fill="auto"/>
                        <w:lang w:val="en-US" w:eastAsia="en-US" w:bidi="en-US"/>
                      </w:rPr>
                      <w:t>YEMEN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color w:val="242323"/>
      <w:w w:val="60"/>
      <w:sz w:val="42"/>
      <w:szCs w:val="4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Arial" w:eastAsia="Arial" w:hAnsi="Arial" w:cs="Arial"/>
      <w:b w:val="0"/>
      <w:bCs w:val="0"/>
      <w:i/>
      <w:iCs/>
      <w:smallCaps w:val="0"/>
      <w:strike w:val="0"/>
      <w:color w:val="525252"/>
      <w:sz w:val="17"/>
      <w:szCs w:val="17"/>
      <w:u w:val="none"/>
    </w:rPr>
  </w:style>
  <w:style w:type="character" w:customStyle="1" w:styleId="CharStyle11">
    <w:name w:val="Body text_"/>
    <w:basedOn w:val="DefaultParagraphFont"/>
    <w:link w:val="Style10"/>
    <w:rPr>
      <w:rFonts w:ascii="Calibri" w:eastAsia="Calibri" w:hAnsi="Calibri" w:cs="Calibri"/>
      <w:b w:val="0"/>
      <w:bCs w:val="0"/>
      <w:i w:val="0"/>
      <w:iCs w:val="0"/>
      <w:smallCaps w:val="0"/>
      <w:strike w:val="0"/>
      <w:sz w:val="24"/>
      <w:szCs w:val="24"/>
      <w:u w:val="none"/>
    </w:rPr>
  </w:style>
  <w:style w:type="paragraph" w:customStyle="1" w:styleId="Style2">
    <w:name w:val="Heading #1"/>
    <w:basedOn w:val="Normal"/>
    <w:link w:val="CharStyle3"/>
    <w:pPr>
      <w:widowControl w:val="0"/>
      <w:shd w:val="clear" w:color="auto" w:fill="auto"/>
      <w:spacing w:line="204" w:lineRule="auto"/>
      <w:ind w:left="2500"/>
      <w:outlineLvl w:val="0"/>
    </w:pPr>
    <w:rPr>
      <w:rFonts w:ascii="Arial" w:eastAsia="Arial" w:hAnsi="Arial" w:cs="Arial"/>
      <w:b/>
      <w:bCs/>
      <w:i w:val="0"/>
      <w:iCs w:val="0"/>
      <w:smallCaps w:val="0"/>
      <w:strike w:val="0"/>
      <w:color w:val="242323"/>
      <w:w w:val="60"/>
      <w:sz w:val="42"/>
      <w:szCs w:val="4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auto"/>
      <w:spacing w:after="670"/>
      <w:ind w:left="2500"/>
    </w:pPr>
    <w:rPr>
      <w:rFonts w:ascii="Arial" w:eastAsia="Arial" w:hAnsi="Arial" w:cs="Arial"/>
      <w:b w:val="0"/>
      <w:bCs w:val="0"/>
      <w:i/>
      <w:iCs/>
      <w:smallCaps w:val="0"/>
      <w:strike w:val="0"/>
      <w:color w:val="525252"/>
      <w:sz w:val="17"/>
      <w:szCs w:val="17"/>
      <w:u w:val="none"/>
    </w:rPr>
  </w:style>
  <w:style w:type="paragraph" w:styleId="Style10">
    <w:name w:val="Body text"/>
    <w:basedOn w:val="Normal"/>
    <w:link w:val="CharStyle11"/>
    <w:qFormat/>
    <w:pPr>
      <w:widowControl w:val="0"/>
      <w:shd w:val="clear" w:color="auto" w:fill="auto"/>
      <w:spacing w:after="120" w:line="360" w:lineRule="auto"/>
    </w:pPr>
    <w:rPr>
      <w:rFonts w:ascii="Calibri" w:eastAsia="Calibri" w:hAnsi="Calibri" w:cs="Calibri"/>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s>
</file>

<file path=word/_rels/header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Dudi, Gordon (FAOYE)</dc:creator>
  <cp:keywords/>
</cp:coreProperties>
</file>