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Annex 1: M&amp; E Framework Key indicators for the achievement of PDO</w:t>
      </w:r>
    </w:p>
    <w:tbl>
      <w:tblPr>
        <w:tblOverlap w:val="never"/>
        <w:jc w:val="center"/>
        <w:tblLayout w:type="fixed"/>
      </w:tblPr>
      <w:tblGrid>
        <w:gridCol w:w="1570"/>
        <w:gridCol w:w="6365"/>
        <w:gridCol w:w="1579"/>
      </w:tblGrid>
      <w:tr>
        <w:trPr>
          <w:trHeight w:val="259"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Overall Project</w:t>
            </w:r>
          </w:p>
        </w:tc>
      </w:tr>
      <w:tr>
        <w:trPr>
          <w:trHeight w:val="25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PDO</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Indicator</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1</w:t>
            </w:r>
          </w:p>
          <w:p>
            <w:pPr>
              <w:pStyle w:val="Style5"/>
              <w:keepNext w:val="0"/>
              <w:keepLines w:val="0"/>
              <w:widowControl w:val="0"/>
              <w:shd w:val="clear" w:color="auto" w:fill="auto"/>
              <w:bidi w:val="0"/>
              <w:spacing w:before="0" w:after="0" w:line="180" w:lineRule="auto"/>
              <w:ind w:left="0" w:right="0" w:firstLine="0"/>
              <w:jc w:val="center"/>
            </w:pPr>
            <w:r>
              <w:rPr>
                <w:b/>
                <w:bCs/>
                <w:color w:val="000000"/>
                <w:spacing w:val="0"/>
                <w:w w:val="100"/>
                <w:position w:val="0"/>
                <w:shd w:val="clear" w:color="auto" w:fill="auto"/>
                <w:lang w:val="en-US" w:eastAsia="en-US" w:bidi="en-US"/>
              </w:rPr>
              <w:t>Target Value</w:t>
            </w:r>
          </w:p>
        </w:tc>
      </w:tr>
      <w:tr>
        <w:trPr>
          <w:trHeight w:val="254" w:hRule="exact"/>
        </w:trPr>
        <w:tc>
          <w:tcPr>
            <w:vMerge w:val="restart"/>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Enhance food and nutrition security of poor and vulnerable households in selected locations by improving agricultural productivity, increasing resilience of farming households and their income and improving nutrition practices</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yield of major crops (rice, wheat, maize and potato)</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yield of pulses and other nutritious crops</w:t>
            </w:r>
            <w:r>
              <w:rPr>
                <w:color w:val="000000"/>
                <w:spacing w:val="0"/>
                <w:w w:val="100"/>
                <w:position w:val="0"/>
                <w:shd w:val="clear" w:color="auto" w:fill="auto"/>
                <w:vertAlign w:val="superscript"/>
                <w:lang w:val="en-US" w:eastAsia="en-US" w:bidi="en-US"/>
              </w:rPr>
              <w:t>2</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area of pulse crops (legumes)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yield of vegetables</w:t>
            </w:r>
            <w:r>
              <w:rPr>
                <w:color w:val="000000"/>
                <w:spacing w:val="0"/>
                <w:w w:val="100"/>
                <w:position w:val="0"/>
                <w:shd w:val="clear" w:color="auto" w:fill="auto"/>
                <w:vertAlign w:val="superscript"/>
                <w:lang w:val="en-US" w:eastAsia="en-US" w:bidi="en-US"/>
              </w:rPr>
              <w:t>3</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area of vegetables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milk yield (per animal per lactation) (cow &amp; buffalo)</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 &amp; 25%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goat productivity (at age of 12 months)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r>
              <w:rPr>
                <w:color w:val="000000"/>
                <w:spacing w:val="0"/>
                <w:w w:val="100"/>
                <w:position w:val="0"/>
                <w:shd w:val="clear" w:color="auto" w:fill="auto"/>
                <w:vertAlign w:val="superscript"/>
                <w:lang w:val="en-US" w:eastAsia="en-US" w:bidi="en-US"/>
              </w:rPr>
              <w:t>4</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egg production (per hen per year)</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yield of fishes</w:t>
            </w:r>
            <w:r>
              <w:rPr>
                <w:color w:val="000000"/>
                <w:spacing w:val="0"/>
                <w:w w:val="100"/>
                <w:position w:val="0"/>
                <w:shd w:val="clear" w:color="auto" w:fill="auto"/>
                <w:vertAlign w:val="superscript"/>
                <w:lang w:val="en-US" w:eastAsia="en-US" w:bidi="en-US"/>
              </w:rPr>
              <w:t>5</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 of farm HH reached with project interventions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139500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female participation in project interventions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r>
      <w:tr>
        <w:trPr>
          <w:trHeight w:val="8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(women farmers)</w:t>
            </w:r>
            <w:r>
              <w:rPr>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with increased productivity in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Crops and Fisheries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30000 (12000)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25000 (18000)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decrease in stunting rate for children under 5 years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decrease in rate of women with low BMI</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decrease in anemia among women</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dietary diversity among women</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increase in minimum acceptable diet</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1000-days beneficiaries reached with project specific BCC interventions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60000</w:t>
            </w:r>
          </w:p>
        </w:tc>
      </w:tr>
      <w:tr>
        <w:trPr>
          <w:trHeight w:val="254"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Components</w:t>
            </w:r>
          </w:p>
        </w:tc>
      </w:tr>
      <w:tr>
        <w:trPr>
          <w:trHeight w:val="25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w:t>
            </w:r>
          </w:p>
        </w:tc>
        <w:tc>
          <w:tcPr>
            <w:tcBorders>
              <w:top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w:t>
            </w:r>
          </w:p>
        </w:tc>
        <w:tc>
          <w:tcPr>
            <w:tcBorders>
              <w:top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Target Value</w:t>
            </w:r>
          </w:p>
        </w:tc>
      </w:tr>
      <w:tr>
        <w:trPr>
          <w:trHeight w:val="254"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Technology development, adaptation and income generation</w:t>
            </w:r>
          </w:p>
        </w:tc>
      </w:tr>
      <w:tr>
        <w:trPr>
          <w:trHeight w:val="763"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Technology generation and testing</w:t>
            </w:r>
          </w:p>
        </w:tc>
        <w:tc>
          <w:tcPr>
            <w:tcBorders>
              <w:top w:val="single" w:sz="4"/>
              <w:left w:val="single" w:sz="4"/>
            </w:tcBorders>
            <w:shd w:val="clear" w:color="auto" w:fill="auto"/>
            <w:vAlign w:val="bottom"/>
          </w:tcPr>
          <w:p>
            <w:pPr>
              <w:pStyle w:val="Style5"/>
              <w:keepNext w:val="0"/>
              <w:keepLines w:val="0"/>
              <w:widowControl w:val="0"/>
              <w:numPr>
                <w:ilvl w:val="0"/>
                <w:numId w:val="1"/>
              </w:numPr>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improved crop varieties recommended</w:t>
            </w:r>
          </w:p>
          <w:p>
            <w:pPr>
              <w:pStyle w:val="Style5"/>
              <w:keepNext w:val="0"/>
              <w:keepLines w:val="0"/>
              <w:widowControl w:val="0"/>
              <w:numPr>
                <w:ilvl w:val="0"/>
                <w:numId w:val="1"/>
              </w:numPr>
              <w:shd w:val="clear" w:color="auto" w:fill="auto"/>
              <w:tabs>
                <w:tab w:pos="173" w:val="left"/>
              </w:tabs>
              <w:bidi w:val="0"/>
              <w:spacing w:before="0" w:after="0" w:line="240" w:lineRule="auto"/>
              <w:ind w:left="260" w:right="0" w:hanging="260"/>
              <w:jc w:val="left"/>
            </w:pPr>
            <w:r>
              <w:rPr>
                <w:color w:val="000000"/>
                <w:spacing w:val="0"/>
                <w:w w:val="100"/>
                <w:position w:val="0"/>
                <w:shd w:val="clear" w:color="auto" w:fill="auto"/>
                <w:lang w:val="en-US" w:eastAsia="en-US" w:bidi="en-US"/>
              </w:rPr>
              <w:t>Number of improved location-problem-specific (crop, fish, livestock) package of practices recommended</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20</w:t>
            </w:r>
          </w:p>
        </w:tc>
      </w:tr>
      <w:tr>
        <w:trPr>
          <w:trHeight w:val="1018"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Technology adaptation and dissemination</w:t>
            </w:r>
          </w:p>
        </w:tc>
        <w:tc>
          <w:tcPr>
            <w:tcBorders>
              <w:top w:val="single" w:sz="4"/>
              <w:left w:val="single" w:sz="4"/>
            </w:tcBorders>
            <w:shd w:val="clear" w:color="auto" w:fill="auto"/>
            <w:vAlign w:val="bottom"/>
          </w:tcPr>
          <w:p>
            <w:pPr>
              <w:pStyle w:val="Style5"/>
              <w:keepNext w:val="0"/>
              <w:keepLines w:val="0"/>
              <w:widowControl w:val="0"/>
              <w:numPr>
                <w:ilvl w:val="0"/>
                <w:numId w:val="3"/>
              </w:numPr>
              <w:shd w:val="clear" w:color="auto" w:fill="auto"/>
              <w:tabs>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Seed replacement rate of various crops</w:t>
            </w:r>
          </w:p>
          <w:p>
            <w:pPr>
              <w:pStyle w:val="Style5"/>
              <w:keepNext w:val="0"/>
              <w:keepLines w:val="0"/>
              <w:widowControl w:val="0"/>
              <w:numPr>
                <w:ilvl w:val="0"/>
                <w:numId w:val="3"/>
              </w:numPr>
              <w:shd w:val="clear" w:color="auto" w:fill="auto"/>
              <w:tabs>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improved crop varieties adopted</w:t>
            </w:r>
          </w:p>
          <w:p>
            <w:pPr>
              <w:pStyle w:val="Style5"/>
              <w:keepNext w:val="0"/>
              <w:keepLines w:val="0"/>
              <w:widowControl w:val="0"/>
              <w:numPr>
                <w:ilvl w:val="0"/>
                <w:numId w:val="3"/>
              </w:numPr>
              <w:shd w:val="clear" w:color="auto" w:fill="auto"/>
              <w:tabs>
                <w:tab w:pos="178" w:val="left"/>
              </w:tabs>
              <w:bidi w:val="0"/>
              <w:spacing w:before="0" w:after="0" w:line="240" w:lineRule="auto"/>
              <w:ind w:left="260" w:right="0" w:hanging="260"/>
              <w:jc w:val="left"/>
            </w:pPr>
            <w:r>
              <w:rPr>
                <w:color w:val="000000"/>
                <w:spacing w:val="0"/>
                <w:w w:val="100"/>
                <w:position w:val="0"/>
                <w:shd w:val="clear" w:color="auto" w:fill="auto"/>
                <w:lang w:val="en-US" w:eastAsia="en-US" w:bidi="en-US"/>
              </w:rPr>
              <w:t>Number of improved location-problem-specific (crop, fish, livestock) package of practices adapted</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8 16</w:t>
            </w:r>
          </w:p>
        </w:tc>
      </w:tr>
      <w:tr>
        <w:trPr>
          <w:trHeight w:val="74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Production support to farmers</w:t>
            </w:r>
          </w:p>
        </w:tc>
        <w:tc>
          <w:tcPr>
            <w:tcBorders>
              <w:top w:val="single" w:sz="4"/>
              <w:left w:val="single" w:sz="4"/>
            </w:tcBorders>
            <w:shd w:val="clear" w:color="auto" w:fill="auto"/>
            <w:vAlign w:val="top"/>
          </w:tcPr>
          <w:p>
            <w:pPr>
              <w:pStyle w:val="Style5"/>
              <w:keepNext w:val="0"/>
              <w:keepLines w:val="0"/>
              <w:widowControl w:val="0"/>
              <w:numPr>
                <w:ilvl w:val="0"/>
                <w:numId w:val="5"/>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groups supported in crops, livestock and fisheries</w:t>
            </w:r>
          </w:p>
          <w:p>
            <w:pPr>
              <w:pStyle w:val="Style5"/>
              <w:keepNext w:val="0"/>
              <w:keepLines w:val="0"/>
              <w:widowControl w:val="0"/>
              <w:numPr>
                <w:ilvl w:val="0"/>
                <w:numId w:val="5"/>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supported through non-farm interventions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2200</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24500</w:t>
            </w:r>
          </w:p>
        </w:tc>
      </w:tr>
      <w:tr>
        <w:trPr>
          <w:trHeight w:val="509"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Institutional strengthening</w:t>
            </w:r>
          </w:p>
        </w:tc>
        <w:tc>
          <w:tcPr>
            <w:tcBorders>
              <w:top w:val="single" w:sz="4"/>
              <w:left w:val="single" w:sz="4"/>
            </w:tcBorders>
            <w:shd w:val="clear" w:color="auto" w:fill="auto"/>
            <w:vAlign w:val="bottom"/>
          </w:tcPr>
          <w:p>
            <w:pPr>
              <w:pStyle w:val="Style5"/>
              <w:keepNext w:val="0"/>
              <w:keepLines w:val="0"/>
              <w:widowControl w:val="0"/>
              <w:shd w:val="clear" w:color="auto" w:fill="auto"/>
              <w:tabs>
                <w:tab w:pos="3744"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Number of Community Agriculture</w:t>
              <w:tab/>
              <w:t>Extension Service Centers</w:t>
            </w:r>
          </w:p>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established and operationalized</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28</w:t>
            </w:r>
          </w:p>
        </w:tc>
      </w:tr>
      <w:tr>
        <w:trPr>
          <w:trHeight w:val="254"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2. Leveraging Market and Reduction of Risk and Vulnerability</w:t>
            </w:r>
          </w:p>
        </w:tc>
      </w:tr>
      <w:tr>
        <w:trPr>
          <w:trHeight w:val="1027" w:hRule="exact"/>
        </w:trPr>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Building Resilience to farmers</w:t>
            </w:r>
          </w:p>
        </w:tc>
        <w:tc>
          <w:tcPr>
            <w:tcBorders>
              <w:top w:val="single" w:sz="4"/>
              <w:left w:val="single" w:sz="4"/>
              <w:bottom w:val="single" w:sz="4"/>
            </w:tcBorders>
            <w:shd w:val="clear" w:color="auto" w:fill="auto"/>
            <w:vAlign w:val="bottom"/>
          </w:tcPr>
          <w:p>
            <w:pPr>
              <w:pStyle w:val="Style5"/>
              <w:keepNext w:val="0"/>
              <w:keepLines w:val="0"/>
              <w:widowControl w:val="0"/>
              <w:numPr>
                <w:ilvl w:val="0"/>
                <w:numId w:val="7"/>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decrease in animal mortality</w:t>
            </w:r>
          </w:p>
          <w:p>
            <w:pPr>
              <w:pStyle w:val="Style5"/>
              <w:keepNext w:val="0"/>
              <w:keepLines w:val="0"/>
              <w:widowControl w:val="0"/>
              <w:numPr>
                <w:ilvl w:val="0"/>
                <w:numId w:val="7"/>
              </w:numPr>
              <w:shd w:val="clear" w:color="auto" w:fill="auto"/>
              <w:tabs>
                <w:tab w:pos="24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Number of climate resilient agricultural technologies developed/promoted</w:t>
            </w:r>
          </w:p>
          <w:p>
            <w:pPr>
              <w:pStyle w:val="Style5"/>
              <w:keepNext w:val="0"/>
              <w:keepLines w:val="0"/>
              <w:widowControl w:val="0"/>
              <w:numPr>
                <w:ilvl w:val="0"/>
                <w:numId w:val="7"/>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covered by agricultural insurance</w:t>
            </w:r>
          </w:p>
        </w:tc>
        <w:tc>
          <w:tcPr>
            <w:tcBorders>
              <w:top w:val="single" w:sz="4"/>
              <w:left w:val="single" w:sz="4"/>
              <w:bottom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30</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10</w:t>
            </w:r>
          </w:p>
        </w:tc>
      </w:tr>
    </w:tbl>
    <w:p>
      <w:pPr>
        <w:pStyle w:val="Style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target value is the end of project target value. Methodological Note: the increase in yield or any 'characteristic' is measured with reference to a control sample (which represents what the general situation would be without any project intervention. Hence, these measures reflect the difference between "with project" and "without project" situation, rather than the erroneous comparison of "after project" and "before project" situation.</w:t>
      </w:r>
    </w:p>
    <w:p>
      <w:pPr>
        <w:pStyle w:val="Style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pulses includes Lentil, Red gram, Black gram, Soybean, Kidney bean and minor crops includes buckwheat, finger millet, millet and barley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to be defined</w:t>
      </w:r>
    </w:p>
    <w:p>
      <w:pPr>
        <w:pStyle w:val="Style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For cattle, current baseline production = 450 litres/lactation, target production = 1150 lit /lactation. For goats, current/baseline value is weight gain of 40-60 gms/day and target value is 90 gms/day.</w:t>
      </w:r>
    </w:p>
    <w:p>
      <w:pPr>
        <w:pStyle w:val="Style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Major Carps,</w:t>
      </w:r>
    </w:p>
    <w:p>
      <w:pPr>
        <w:pStyle w:val="Style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Target values are given for both total number of farmers, and number of women farmers. The latter are indicated in parenthesis after the total number.</w:t>
      </w:r>
      <w:r>
        <w:br w:type="page"/>
      </w:r>
    </w:p>
    <w:tbl>
      <w:tblPr>
        <w:tblOverlap w:val="never"/>
        <w:jc w:val="center"/>
        <w:tblLayout w:type="fixed"/>
      </w:tblPr>
      <w:tblGrid>
        <w:gridCol w:w="1570"/>
        <w:gridCol w:w="6365"/>
        <w:gridCol w:w="1579"/>
      </w:tblGrid>
      <w:tr>
        <w:trPr>
          <w:trHeight w:val="12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30" w:lineRule="auto"/>
              <w:ind w:left="0" w:right="0" w:firstLine="34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Crop and Fisheries</w:t>
            </w:r>
          </w:p>
          <w:p>
            <w:pPr>
              <w:pStyle w:val="Style5"/>
              <w:keepNext w:val="0"/>
              <w:keepLines w:val="0"/>
              <w:widowControl w:val="0"/>
              <w:shd w:val="clear" w:color="auto" w:fill="auto"/>
              <w:bidi w:val="0"/>
              <w:spacing w:before="0" w:after="0" w:line="230" w:lineRule="auto"/>
              <w:ind w:left="0" w:right="0" w:firstLine="34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Livestock</w:t>
            </w:r>
          </w:p>
          <w:p>
            <w:pPr>
              <w:pStyle w:val="Style5"/>
              <w:keepNext w:val="0"/>
              <w:keepLines w:val="0"/>
              <w:widowControl w:val="0"/>
              <w:numPr>
                <w:ilvl w:val="0"/>
                <w:numId w:val="9"/>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groups using ICT for agriculture and nutrition information</w:t>
            </w:r>
          </w:p>
          <w:p>
            <w:pPr>
              <w:pStyle w:val="Style5"/>
              <w:keepNext w:val="0"/>
              <w:keepLines w:val="0"/>
              <w:widowControl w:val="0"/>
              <w:numPr>
                <w:ilvl w:val="0"/>
                <w:numId w:val="9"/>
              </w:numPr>
              <w:shd w:val="clear" w:color="auto" w:fill="auto"/>
              <w:tabs>
                <w:tab w:pos="25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Number of Early Warning and Weather Risk Management Information Package developed and disseminated</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w:t>
            </w:r>
          </w:p>
          <w:p>
            <w:pPr>
              <w:pStyle w:val="Style5"/>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10</w:t>
            </w:r>
          </w:p>
        </w:tc>
      </w:tr>
      <w:tr>
        <w:trPr>
          <w:trHeight w:val="1018"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Transfer and transaction cost reduction</w:t>
            </w:r>
          </w:p>
        </w:tc>
        <w:tc>
          <w:tcPr>
            <w:tcBorders>
              <w:top w:val="single" w:sz="4"/>
              <w:left w:val="single" w:sz="4"/>
            </w:tcBorders>
            <w:shd w:val="clear" w:color="auto" w:fill="auto"/>
            <w:vAlign w:val="bottom"/>
          </w:tcPr>
          <w:p>
            <w:pPr>
              <w:pStyle w:val="Style5"/>
              <w:keepNext w:val="0"/>
              <w:keepLines w:val="0"/>
              <w:widowControl w:val="0"/>
              <w:numPr>
                <w:ilvl w:val="0"/>
                <w:numId w:val="11"/>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farmers’ share in consumers rupee</w:t>
            </w:r>
          </w:p>
          <w:p>
            <w:pPr>
              <w:pStyle w:val="Style5"/>
              <w:keepNext w:val="0"/>
              <w:keepLines w:val="0"/>
              <w:widowControl w:val="0"/>
              <w:numPr>
                <w:ilvl w:val="0"/>
                <w:numId w:val="11"/>
              </w:numPr>
              <w:shd w:val="clear" w:color="auto" w:fill="auto"/>
              <w:tabs>
                <w:tab w:pos="24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Number of collection centers/marketing sheds/storage house established</w:t>
            </w:r>
          </w:p>
          <w:p>
            <w:pPr>
              <w:pStyle w:val="Style5"/>
              <w:keepNext w:val="0"/>
              <w:keepLines w:val="0"/>
              <w:widowControl w:val="0"/>
              <w:numPr>
                <w:ilvl w:val="0"/>
                <w:numId w:val="11"/>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decrease in post-harvest losses in agricultural products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p>
            <w:pPr>
              <w:pStyle w:val="Style5"/>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54"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3. Improved Food Safety and Nutrition Practices</w:t>
            </w:r>
          </w:p>
        </w:tc>
      </w:tr>
      <w:tr>
        <w:trPr>
          <w:trHeight w:val="1027"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NFS and HNG</w:t>
            </w:r>
          </w:p>
        </w:tc>
        <w:tc>
          <w:tcPr>
            <w:tcBorders>
              <w:top w:val="single" w:sz="4"/>
              <w:left w:val="single" w:sz="4"/>
            </w:tcBorders>
            <w:shd w:val="clear" w:color="auto" w:fill="auto"/>
            <w:vAlign w:val="bottom"/>
          </w:tcPr>
          <w:p>
            <w:pPr>
              <w:pStyle w:val="Style5"/>
              <w:keepNext w:val="0"/>
              <w:keepLines w:val="0"/>
              <w:widowControl w:val="0"/>
              <w:numPr>
                <w:ilvl w:val="0"/>
                <w:numId w:val="1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Students’ Nutrition Field School (NFS) established</w:t>
            </w:r>
          </w:p>
          <w:p>
            <w:pPr>
              <w:pStyle w:val="Style5"/>
              <w:keepNext w:val="0"/>
              <w:keepLines w:val="0"/>
              <w:widowControl w:val="0"/>
              <w:numPr>
                <w:ilvl w:val="0"/>
                <w:numId w:val="1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Village Model Farm (VMF) established</w:t>
            </w:r>
          </w:p>
          <w:p>
            <w:pPr>
              <w:pStyle w:val="Style5"/>
              <w:keepNext w:val="0"/>
              <w:keepLines w:val="0"/>
              <w:widowControl w:val="0"/>
              <w:numPr>
                <w:ilvl w:val="0"/>
                <w:numId w:val="1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Home Nutrition Garden (HNG) established</w:t>
            </w:r>
          </w:p>
          <w:p>
            <w:pPr>
              <w:pStyle w:val="Style5"/>
              <w:keepNext w:val="0"/>
              <w:keepLines w:val="0"/>
              <w:widowControl w:val="0"/>
              <w:numPr>
                <w:ilvl w:val="0"/>
                <w:numId w:val="1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Diversity of foods produced on-farm at HH level</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40 5000 60000</w:t>
            </w:r>
          </w:p>
        </w:tc>
      </w:tr>
      <w:tr>
        <w:trPr>
          <w:trHeight w:val="989"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Promotion of Processing and Preservation Practices</w:t>
            </w:r>
          </w:p>
        </w:tc>
        <w:tc>
          <w:tcPr>
            <w:tcBorders>
              <w:top w:val="single" w:sz="4"/>
              <w:left w:val="single" w:sz="4"/>
            </w:tcBorders>
            <w:shd w:val="clear" w:color="auto" w:fill="auto"/>
            <w:vAlign w:val="top"/>
          </w:tcPr>
          <w:p>
            <w:pPr>
              <w:pStyle w:val="Style5"/>
              <w:keepNext w:val="0"/>
              <w:keepLines w:val="0"/>
              <w:widowControl w:val="0"/>
              <w:numPr>
                <w:ilvl w:val="0"/>
                <w:numId w:val="15"/>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Women’s groups trained on food preservation and processing methods</w:t>
            </w:r>
          </w:p>
          <w:p>
            <w:pPr>
              <w:pStyle w:val="Style5"/>
              <w:keepNext w:val="0"/>
              <w:keepLines w:val="0"/>
              <w:widowControl w:val="0"/>
              <w:numPr>
                <w:ilvl w:val="0"/>
                <w:numId w:val="15"/>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food processing and preservation unit established</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5000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w:t>
            </w:r>
          </w:p>
        </w:tc>
      </w:tr>
      <w:tr>
        <w:trPr>
          <w:trHeight w:val="1790"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Use of Nutrition Services and Promotion of Healthy Diet</w:t>
            </w:r>
          </w:p>
        </w:tc>
        <w:tc>
          <w:tcPr>
            <w:tcBorders>
              <w:top w:val="single" w:sz="4"/>
              <w:left w:val="single" w:sz="4"/>
            </w:tcBorders>
            <w:shd w:val="clear" w:color="auto" w:fill="auto"/>
            <w:vAlign w:val="bottom"/>
          </w:tcPr>
          <w:p>
            <w:pPr>
              <w:pStyle w:val="Style5"/>
              <w:keepNext w:val="0"/>
              <w:keepLines w:val="0"/>
              <w:widowControl w:val="0"/>
              <w:numPr>
                <w:ilvl w:val="0"/>
                <w:numId w:val="17"/>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rate of exclusive breastfeeding</w:t>
            </w:r>
          </w:p>
          <w:p>
            <w:pPr>
              <w:pStyle w:val="Style5"/>
              <w:keepNext w:val="0"/>
              <w:keepLines w:val="0"/>
              <w:widowControl w:val="0"/>
              <w:numPr>
                <w:ilvl w:val="0"/>
                <w:numId w:val="17"/>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Minimum meal frequency among children</w:t>
            </w:r>
          </w:p>
          <w:p>
            <w:pPr>
              <w:pStyle w:val="Style5"/>
              <w:keepNext w:val="0"/>
              <w:keepLines w:val="0"/>
              <w:widowControl w:val="0"/>
              <w:numPr>
                <w:ilvl w:val="0"/>
                <w:numId w:val="17"/>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recipes developed from NNC at the household level</w:t>
            </w:r>
          </w:p>
          <w:p>
            <w:pPr>
              <w:pStyle w:val="Style5"/>
              <w:keepNext w:val="0"/>
              <w:keepLines w:val="0"/>
              <w:widowControl w:val="0"/>
              <w:numPr>
                <w:ilvl w:val="0"/>
                <w:numId w:val="17"/>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local recipes improved and promoted</w:t>
            </w:r>
          </w:p>
          <w:p>
            <w:pPr>
              <w:pStyle w:val="Style5"/>
              <w:keepNext w:val="0"/>
              <w:keepLines w:val="0"/>
              <w:widowControl w:val="0"/>
              <w:numPr>
                <w:ilvl w:val="0"/>
                <w:numId w:val="17"/>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consumption of animal source foods</w:t>
            </w:r>
          </w:p>
          <w:p>
            <w:pPr>
              <w:pStyle w:val="Style5"/>
              <w:keepNext w:val="0"/>
              <w:keepLines w:val="0"/>
              <w:widowControl w:val="0"/>
              <w:numPr>
                <w:ilvl w:val="0"/>
                <w:numId w:val="17"/>
              </w:numPr>
              <w:shd w:val="clear" w:color="auto" w:fill="auto"/>
              <w:tabs>
                <w:tab w:pos="221"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consumption of micronutrient rich vegetables and fruits</w:t>
            </w:r>
          </w:p>
          <w:p>
            <w:pPr>
              <w:pStyle w:val="Style5"/>
              <w:keepNext w:val="0"/>
              <w:keepLines w:val="0"/>
              <w:widowControl w:val="0"/>
              <w:numPr>
                <w:ilvl w:val="0"/>
                <w:numId w:val="17"/>
              </w:numPr>
              <w:shd w:val="clear" w:color="auto" w:fill="auto"/>
              <w:tabs>
                <w:tab w:pos="221"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1000-days women counseled on nutrition at HH level</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p>
            <w:pPr>
              <w:pStyle w:val="Style5"/>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r>
      <w:tr>
        <w:trPr>
          <w:trHeight w:val="763"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Food safety improved</w:t>
            </w:r>
          </w:p>
        </w:tc>
        <w:tc>
          <w:tcPr>
            <w:tcBorders>
              <w:top w:val="single" w:sz="4"/>
              <w:left w:val="single" w:sz="4"/>
            </w:tcBorders>
            <w:shd w:val="clear" w:color="auto" w:fill="auto"/>
            <w:vAlign w:val="center"/>
          </w:tcPr>
          <w:p>
            <w:pPr>
              <w:pStyle w:val="Style5"/>
              <w:keepNext w:val="0"/>
              <w:keepLines w:val="0"/>
              <w:widowControl w:val="0"/>
              <w:numPr>
                <w:ilvl w:val="0"/>
                <w:numId w:val="19"/>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awareness on food safety at household (consumer) level</w:t>
            </w:r>
          </w:p>
          <w:p>
            <w:pPr>
              <w:pStyle w:val="Style5"/>
              <w:keepNext w:val="0"/>
              <w:keepLines w:val="0"/>
              <w:widowControl w:val="0"/>
              <w:numPr>
                <w:ilvl w:val="0"/>
                <w:numId w:val="19"/>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Increase in food safety related knowledge and attitudes at household</w:t>
            </w: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level</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54"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Technical Assistance, Capacity Building and Project Management</w:t>
            </w:r>
          </w:p>
        </w:tc>
      </w:tr>
      <w:tr>
        <w:trPr>
          <w:trHeight w:val="1008"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Project Office and Technical Assistance</w:t>
            </w:r>
          </w:p>
        </w:tc>
        <w:tc>
          <w:tcPr>
            <w:tcBorders>
              <w:top w:val="single" w:sz="4"/>
              <w:left w:val="single" w:sz="4"/>
            </w:tcBorders>
            <w:shd w:val="clear" w:color="auto" w:fill="auto"/>
            <w:vAlign w:val="bottom"/>
          </w:tcPr>
          <w:p>
            <w:pPr>
              <w:pStyle w:val="Style5"/>
              <w:keepNext w:val="0"/>
              <w:keepLines w:val="0"/>
              <w:widowControl w:val="0"/>
              <w:numPr>
                <w:ilvl w:val="0"/>
                <w:numId w:val="21"/>
              </w:numPr>
              <w:shd w:val="clear" w:color="auto" w:fill="auto"/>
              <w:tabs>
                <w:tab w:pos="25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Number of project-specific technical and training guidelines revised and developed</w:t>
            </w:r>
          </w:p>
          <w:p>
            <w:pPr>
              <w:pStyle w:val="Style5"/>
              <w:keepNext w:val="0"/>
              <w:keepLines w:val="0"/>
              <w:widowControl w:val="0"/>
              <w:numPr>
                <w:ilvl w:val="0"/>
                <w:numId w:val="21"/>
              </w:numPr>
              <w:shd w:val="clear" w:color="auto" w:fill="auto"/>
              <w:tabs>
                <w:tab w:pos="25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Number of government personnel provided trainings with revised package</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per the need</w:t>
            </w:r>
          </w:p>
        </w:tc>
      </w:tr>
      <w:tr>
        <w:trPr>
          <w:trHeight w:val="523"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Capacity</w:t>
            </w:r>
          </w:p>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Building</w:t>
            </w:r>
          </w:p>
        </w:tc>
        <w:tc>
          <w:tcPr>
            <w:tcBorders>
              <w:top w:val="single" w:sz="4"/>
              <w:left w:val="single" w:sz="4"/>
            </w:tcBorders>
            <w:shd w:val="clear" w:color="auto" w:fill="auto"/>
            <w:vAlign w:val="bottom"/>
          </w:tcPr>
          <w:p>
            <w:pPr>
              <w:pStyle w:val="Style5"/>
              <w:keepNext w:val="0"/>
              <w:keepLines w:val="0"/>
              <w:widowControl w:val="0"/>
              <w:numPr>
                <w:ilvl w:val="0"/>
                <w:numId w:val="2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government personnel for high-level training</w:t>
            </w:r>
          </w:p>
          <w:p>
            <w:pPr>
              <w:pStyle w:val="Style5"/>
              <w:keepNext w:val="0"/>
              <w:keepLines w:val="0"/>
              <w:widowControl w:val="0"/>
              <w:numPr>
                <w:ilvl w:val="0"/>
                <w:numId w:val="2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short and long-term training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per the need</w:t>
            </w:r>
          </w:p>
        </w:tc>
      </w:tr>
      <w:tr>
        <w:trPr>
          <w:trHeight w:val="773"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Fiduciary safeguard</w:t>
            </w:r>
          </w:p>
        </w:tc>
        <w:tc>
          <w:tcPr>
            <w:tcBorders>
              <w:top w:val="single" w:sz="4"/>
              <w:left w:val="single" w:sz="4"/>
            </w:tcBorders>
            <w:shd w:val="clear" w:color="auto" w:fill="auto"/>
            <w:vAlign w:val="bottom"/>
          </w:tcPr>
          <w:p>
            <w:pPr>
              <w:pStyle w:val="Style5"/>
              <w:keepNext w:val="0"/>
              <w:keepLines w:val="0"/>
              <w:widowControl w:val="0"/>
              <w:numPr>
                <w:ilvl w:val="0"/>
                <w:numId w:val="25"/>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payments disbursed to Payment Service Providers on time</w:t>
            </w:r>
          </w:p>
          <w:p>
            <w:pPr>
              <w:pStyle w:val="Style5"/>
              <w:keepNext w:val="0"/>
              <w:keepLines w:val="0"/>
              <w:widowControl w:val="0"/>
              <w:numPr>
                <w:ilvl w:val="0"/>
                <w:numId w:val="25"/>
              </w:numPr>
              <w:shd w:val="clear" w:color="auto" w:fill="auto"/>
              <w:tabs>
                <w:tab w:pos="240" w:val="left"/>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allocated budget reaching to beneficiaries on time</w:t>
            </w:r>
          </w:p>
          <w:p>
            <w:pPr>
              <w:pStyle w:val="Style5"/>
              <w:keepNext w:val="0"/>
              <w:keepLines w:val="0"/>
              <w:widowControl w:val="0"/>
              <w:numPr>
                <w:ilvl w:val="0"/>
                <w:numId w:val="25"/>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public hearing carried out</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Project Management</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Project management personnel and support services</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per the need</w:t>
            </w:r>
          </w:p>
        </w:tc>
      </w:tr>
    </w:tbl>
    <w:p>
      <w:pPr>
        <w:sectPr>
          <w:footerReference w:type="default" r:id="rId5"/>
          <w:footnotePr>
            <w:pos w:val="pageBottom"/>
            <w:numFmt w:val="decimal"/>
            <w:numRestart w:val="continuous"/>
          </w:footnotePr>
          <w:pgSz w:w="11900" w:h="16840"/>
          <w:pgMar w:top="1416" w:right="1061" w:bottom="1247" w:left="1325" w:header="988" w:footer="3" w:gutter="0"/>
          <w:pgNumType w:start="1"/>
          <w:cols w:space="720"/>
          <w:noEndnote/>
          <w:rtlGutter w:val="0"/>
          <w:docGrid w:linePitch="360"/>
        </w:sectPr>
      </w:pPr>
    </w:p>
    <w:p>
      <w:pPr>
        <w:pStyle w:val="Style17"/>
        <w:keepNext w:val="0"/>
        <w:keepLines w:val="0"/>
        <w:widowControl w:val="0"/>
        <w:numPr>
          <w:ilvl w:val="0"/>
          <w:numId w:val="27"/>
        </w:numPr>
        <w:shd w:val="clear" w:color="auto" w:fill="auto"/>
        <w:bidi w:val="0"/>
        <w:spacing w:before="0" w:line="240" w:lineRule="auto"/>
        <w:ind w:left="0" w:right="0" w:firstLine="0"/>
        <w:jc w:val="center"/>
      </w:pPr>
    </w:p>
    <w:p>
      <w:pPr>
        <w:pStyle w:val="Style17"/>
        <w:keepNext w:val="0"/>
        <w:keepLines w:val="0"/>
        <w:widowControl w:val="0"/>
        <w:numPr>
          <w:ilvl w:val="0"/>
          <w:numId w:val="27"/>
        </w:numPr>
        <w:shd w:val="clear" w:color="auto" w:fill="auto"/>
        <w:tabs>
          <w:tab w:pos="910" w:val="left"/>
        </w:tabs>
        <w:bidi w:val="0"/>
        <w:spacing w:before="0" w:line="262" w:lineRule="auto"/>
        <w:ind w:left="0" w:right="0" w:firstLine="0"/>
        <w:jc w:val="center"/>
      </w:pPr>
      <w:r>
        <w:rPr>
          <w:color w:val="000000"/>
          <w:spacing w:val="0"/>
          <w:w w:val="100"/>
          <w:position w:val="0"/>
          <w:shd w:val="clear" w:color="auto" w:fill="auto"/>
          <w:lang w:val="en-US" w:eastAsia="en-US" w:bidi="en-US"/>
        </w:rPr>
        <w:t>Plan for detailed preparation and finalization of project</w:t>
      </w:r>
    </w:p>
    <w:p>
      <w:pPr>
        <w:pStyle w:val="Style1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Justification</w:t>
      </w:r>
    </w:p>
    <w:p>
      <w:pPr>
        <w:pStyle w:val="Style19"/>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It is difficult to source sufficient and timely funds through the government budget process and no other funding sources are available to finance project preparation.</w:t>
      </w:r>
      <w:bookmarkEnd w:id="0"/>
    </w:p>
    <w:p>
      <w:pPr>
        <w:pStyle w:val="Style2"/>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shd w:val="clear" w:color="auto" w:fill="auto"/>
          <w:lang w:val="en-US" w:eastAsia="en-US" w:bidi="en-US"/>
        </w:rPr>
        <w:t>Proposed activities and associated budgets</w:t>
      </w:r>
      <w:r>
        <w:rPr>
          <w:color w:val="000000"/>
          <w:spacing w:val="0"/>
          <w:w w:val="100"/>
          <w:position w:val="0"/>
          <w:sz w:val="20"/>
          <w:szCs w:val="20"/>
          <w:shd w:val="clear" w:color="auto" w:fill="auto"/>
          <w:lang w:val="en-US" w:eastAsia="en-US" w:bidi="en-US"/>
        </w:rPr>
        <w:t>:</w:t>
      </w:r>
    </w:p>
    <w:tbl>
      <w:tblPr>
        <w:tblOverlap w:val="never"/>
        <w:jc w:val="center"/>
        <w:tblLayout w:type="fixed"/>
      </w:tblPr>
      <w:tblGrid>
        <w:gridCol w:w="571"/>
        <w:gridCol w:w="6442"/>
        <w:gridCol w:w="2237"/>
      </w:tblGrid>
      <w:tr>
        <w:trPr>
          <w:trHeight w:val="259"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SN</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Preparation activities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Budget (USD million)</w:t>
            </w:r>
          </w:p>
        </w:tc>
      </w:tr>
      <w:tr>
        <w:trPr>
          <w:trHeight w:val="25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Feasibility studies and detailed designs, including technical studies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100,000</w:t>
            </w:r>
          </w:p>
        </w:tc>
      </w:tr>
      <w:tr>
        <w:trPr>
          <w:trHeight w:val="499"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impact assessments, gender studies and studies on project-related crosscutting issues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50,000</w:t>
            </w:r>
          </w:p>
        </w:tc>
      </w:tr>
      <w:tr>
        <w:trPr>
          <w:trHeight w:val="25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Pre-contract services including revision of designs and tender documents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30,000</w:t>
            </w:r>
          </w:p>
        </w:tc>
      </w:tr>
      <w:tr>
        <w:trPr>
          <w:trHeight w:val="499"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support, capacity development and human resource development during the project preparatory phase</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100,000</w:t>
            </w:r>
          </w:p>
        </w:tc>
      </w:tr>
      <w:tr>
        <w:trPr>
          <w:trHeight w:val="25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the project monitoring and evaluation framework;</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50,000</w:t>
            </w:r>
          </w:p>
        </w:tc>
      </w:tr>
      <w:tr>
        <w:trPr>
          <w:trHeight w:val="25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Carrying out the design and completion of the baseline studies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100,000</w:t>
            </w:r>
          </w:p>
        </w:tc>
      </w:tr>
      <w:tr>
        <w:trPr>
          <w:trHeight w:val="749" w:hRule="exact"/>
        </w:trPr>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Preliminary studies for the structuring of Public-Private Partnerships (PPPs) and concessions</w:t>
            </w:r>
          </w:p>
        </w:tc>
        <w:tc>
          <w:tcPr>
            <w:tcBorders>
              <w:top w:val="single" w:sz="4"/>
              <w:left w:val="single" w:sz="4"/>
              <w:bottom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70,000</w:t>
            </w:r>
          </w:p>
        </w:tc>
      </w:tr>
    </w:tbl>
    <w:p>
      <w:pPr>
        <w:pStyle w:val="Style2"/>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shd w:val="clear" w:color="auto" w:fill="auto"/>
          <w:lang w:val="en-US" w:eastAsia="en-US" w:bidi="en-US"/>
        </w:rPr>
        <w:t xml:space="preserve">Grant size requested: </w:t>
      </w:r>
      <w:r>
        <w:rPr>
          <w:color w:val="000000"/>
          <w:spacing w:val="0"/>
          <w:w w:val="100"/>
          <w:position w:val="0"/>
          <w:sz w:val="20"/>
          <w:szCs w:val="20"/>
          <w:shd w:val="clear" w:color="auto" w:fill="auto"/>
          <w:lang w:val="en-US" w:eastAsia="en-US" w:bidi="en-US"/>
        </w:rPr>
        <w:t>Preparation grantsize is limited to a maximum of US$500,000.</w:t>
      </w:r>
    </w:p>
    <w:p>
      <w:pPr>
        <w:widowControl w:val="0"/>
        <w:spacing w:after="219" w:line="1" w:lineRule="exact"/>
      </w:pPr>
    </w:p>
    <w:p>
      <w:pPr>
        <w:pStyle w:val="Style2"/>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shd w:val="clear" w:color="auto" w:fill="auto"/>
          <w:lang w:val="en-US" w:eastAsia="en-US" w:bidi="en-US"/>
        </w:rPr>
        <w:t>List of full time government team members</w:t>
      </w:r>
      <w:r>
        <w:rPr>
          <w:color w:val="000000"/>
          <w:spacing w:val="0"/>
          <w:w w:val="100"/>
          <w:position w:val="0"/>
          <w:sz w:val="20"/>
          <w:szCs w:val="20"/>
          <w:shd w:val="clear" w:color="auto" w:fill="auto"/>
          <w:lang w:val="en-US" w:eastAsia="en-US" w:bidi="en-US"/>
        </w:rPr>
        <w:t>(who will prepare and finalize the project with the supervising entity. The list should include their current roles)</w:t>
      </w:r>
    </w:p>
    <w:tbl>
      <w:tblPr>
        <w:tblOverlap w:val="never"/>
        <w:jc w:val="center"/>
        <w:tblLayout w:type="fixed"/>
      </w:tblPr>
      <w:tblGrid>
        <w:gridCol w:w="672"/>
        <w:gridCol w:w="4814"/>
        <w:gridCol w:w="3763"/>
      </w:tblGrid>
      <w:tr>
        <w:trPr>
          <w:trHeight w:val="259"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SN</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Designation/Current Role</w:t>
            </w:r>
          </w:p>
        </w:tc>
      </w:tr>
      <w:tr>
        <w:trPr>
          <w:trHeight w:val="25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BinodBhattarai</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SrAgroeconomist, MoAD</w:t>
            </w:r>
          </w:p>
        </w:tc>
      </w:tr>
      <w:tr>
        <w:trPr>
          <w:trHeight w:val="25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19" w:line="1" w:lineRule="exact"/>
      </w:pPr>
    </w:p>
    <w:p>
      <w:pPr>
        <w:pStyle w:val="Style17"/>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686" w:right="1325" w:bottom="1686" w:left="1325" w:header="1258" w:footer="3" w:gutter="0"/>
          <w:cols w:space="720"/>
          <w:noEndnote/>
          <w:rtlGutter w:val="0"/>
          <w:docGrid w:linePitch="360"/>
        </w:sectPr>
      </w:pPr>
      <w:r>
        <w:rPr>
          <w:color w:val="000000"/>
          <w:spacing w:val="0"/>
          <w:w w:val="100"/>
          <w:position w:val="0"/>
          <w:shd w:val="clear" w:color="auto" w:fill="auto"/>
          <w:lang w:val="en-US" w:eastAsia="en-US" w:bidi="en-US"/>
        </w:rPr>
        <w:t xml:space="preserve">Expected project preparation time </w:t>
      </w:r>
      <w:r>
        <w:rPr>
          <w:b w:val="0"/>
          <w:bCs w:val="0"/>
          <w:color w:val="000000"/>
          <w:spacing w:val="0"/>
          <w:w w:val="100"/>
          <w:position w:val="0"/>
          <w:shd w:val="clear" w:color="auto" w:fill="auto"/>
          <w:lang w:val="en-US" w:eastAsia="en-US" w:bidi="en-US"/>
        </w:rPr>
        <w:t>(including time needed for reviews and any subsequent clearances needed from government committees and parliament)</w:t>
      </w:r>
    </w:p>
    <w:p>
      <w:pPr>
        <w:pStyle w:val="Style23"/>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Annex 3: Key Indicators for showing food and nutrition security and vulnerability in Project Proposed districts</w:t>
      </w:r>
      <w:bookmarkEnd w:id="2"/>
    </w:p>
    <w:tbl>
      <w:tblPr>
        <w:tblOverlap w:val="never"/>
        <w:jc w:val="center"/>
        <w:tblLayout w:type="fixed"/>
      </w:tblPr>
      <w:tblGrid>
        <w:gridCol w:w="1411"/>
        <w:gridCol w:w="562"/>
        <w:gridCol w:w="1003"/>
        <w:gridCol w:w="821"/>
        <w:gridCol w:w="898"/>
        <w:gridCol w:w="706"/>
        <w:gridCol w:w="739"/>
        <w:gridCol w:w="725"/>
        <w:gridCol w:w="1032"/>
        <w:gridCol w:w="725"/>
        <w:gridCol w:w="696"/>
        <w:gridCol w:w="710"/>
        <w:gridCol w:w="1085"/>
        <w:gridCol w:w="907"/>
        <w:gridCol w:w="955"/>
        <w:gridCol w:w="1219"/>
      </w:tblGrid>
      <w:tr>
        <w:trPr>
          <w:trHeight w:val="1114"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District</w:t>
            </w:r>
          </w:p>
        </w:tc>
        <w:tc>
          <w:tcPr>
            <w:tcBorders>
              <w:top w:val="single" w:sz="4"/>
              <w:left w:val="single" w:sz="4"/>
            </w:tcBorders>
            <w:shd w:val="clear" w:color="auto" w:fill="BADCEA"/>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HDI</w:t>
            </w:r>
          </w:p>
        </w:tc>
        <w:tc>
          <w:tcPr>
            <w:tcBorders>
              <w:top w:val="single" w:sz="4"/>
              <w:left w:val="single" w:sz="4"/>
            </w:tcBorders>
            <w:shd w:val="clear" w:color="auto" w:fill="ECDDE1"/>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NAPA2010 vulnerability index</w:t>
            </w:r>
          </w:p>
        </w:tc>
        <w:tc>
          <w:tcPr>
            <w:tcBorders>
              <w:top w:val="single" w:sz="4"/>
              <w:left w:val="single" w:sz="4"/>
            </w:tcBorders>
            <w:shd w:val="clear" w:color="auto" w:fill="ECDDE1"/>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Disasters caused economic loss</w:t>
            </w:r>
          </w:p>
        </w:tc>
        <w:tc>
          <w:tcPr>
            <w:tcBorders>
              <w:top w:val="single" w:sz="4"/>
              <w:left w:val="single" w:sz="4"/>
            </w:tcBorders>
            <w:shd w:val="clear" w:color="auto" w:fill="E5B8B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of population below poverty line</w:t>
            </w:r>
          </w:p>
        </w:tc>
        <w:tc>
          <w:tcPr>
            <w:tcBorders>
              <w:top w:val="single" w:sz="4"/>
              <w:left w:val="single" w:sz="4"/>
            </w:tcBorders>
            <w:shd w:val="clear" w:color="auto" w:fill="ECDDE1"/>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Food Balance (mt), 2014</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Stunting</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Wasting</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Underweight</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Anemia in U2 children</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Anemia in women</w:t>
            </w:r>
          </w:p>
        </w:tc>
        <w:tc>
          <w:tcPr>
            <w:tcBorders>
              <w:top w:val="single" w:sz="4"/>
              <w:left w:val="single" w:sz="4"/>
            </w:tcBorders>
            <w:shd w:val="clear" w:color="auto" w:fill="B1A1C8"/>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Low BMI among Women</w:t>
            </w:r>
          </w:p>
        </w:tc>
        <w:tc>
          <w:tcPr>
            <w:tcBorders>
              <w:top w:val="single" w:sz="4"/>
              <w:left w:val="single" w:sz="4"/>
            </w:tcBorders>
            <w:shd w:val="clear" w:color="auto" w:fill="BADCEA"/>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Rate of Early Initiation of Breastfeeding</w:t>
            </w:r>
          </w:p>
        </w:tc>
        <w:tc>
          <w:tcPr>
            <w:tcBorders>
              <w:top w:val="single" w:sz="4"/>
              <w:left w:val="single" w:sz="4"/>
            </w:tcBorders>
            <w:shd w:val="clear" w:color="auto" w:fill="BADCEA"/>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Minimum Acceptable Diet</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of children 6</w:t>
              <w:softHyphen/>
              <w:t>23 months consuming vitamin A rich foods</w:t>
            </w:r>
          </w:p>
        </w:tc>
        <w:tc>
          <w:tcPr>
            <w:tcBorders>
              <w:top w:val="single" w:sz="4"/>
              <w:left w:val="single" w:sz="4"/>
              <w:right w:val="single" w:sz="4"/>
            </w:tcBorders>
            <w:shd w:val="clear" w:color="auto" w:fill="BADCEA"/>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of children 6</w:t>
              <w:softHyphen/>
              <w:t>23 months consuming iron rich foods</w:t>
            </w:r>
          </w:p>
        </w:tc>
      </w:tr>
      <w:tr>
        <w:trPr>
          <w:trHeight w:val="307"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Dolakha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0.459</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0.855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0.364</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-21561</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45.5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25.5</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20.7</w:t>
            </w:r>
          </w:p>
        </w:tc>
      </w:tr>
      <w:tr>
        <w:trPr>
          <w:trHeight w:val="312"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Sindhupalchowk</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0.455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0.403</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0.271</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-4313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25.5</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20.7</w:t>
            </w:r>
          </w:p>
        </w:tc>
      </w:tr>
      <w:tr>
        <w:trPr>
          <w:trHeight w:val="307"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Rasuwa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0.461</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0.426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0.004</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-45468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45.5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25.5</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20.7</w:t>
            </w:r>
          </w:p>
        </w:tc>
      </w:tr>
      <w:tr>
        <w:trPr>
          <w:trHeight w:val="312"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Dhading</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0.461</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0.785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0.044</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18.8</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-25256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57.6</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30.4</w:t>
            </w:r>
          </w:p>
        </w:tc>
      </w:tr>
      <w:tr>
        <w:trPr>
          <w:trHeight w:val="312"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Nuwakot</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0.466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0.337</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0.177</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14063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57.6</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30.4</w:t>
            </w:r>
          </w:p>
        </w:tc>
      </w:tr>
      <w:tr>
        <w:trPr>
          <w:trHeight w:val="307" w:hRule="exact"/>
        </w:trPr>
        <w:tc>
          <w:tcPr>
            <w:tcBorders/>
            <w:shd w:val="clear" w:color="auto" w:fill="7F7F7F"/>
            <w:vAlign w:val="center"/>
          </w:tcPr>
          <w:p>
            <w:pPr>
              <w:pStyle w:val="Style5"/>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Gorkha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0.481</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0.733</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0.008</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20.4</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-5035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35.9</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57.6</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30.4</w:t>
            </w:r>
          </w:p>
        </w:tc>
      </w:tr>
      <w:tr>
        <w:trPr>
          <w:trHeight w:val="312"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Dhanusha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0.431</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0.635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0.022</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23.1</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-12160</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07"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Mahottari</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0.388</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0.785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16.2</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29578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12"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Sarlahi</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0.402</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0.410</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0.071</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17.7</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49221</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12"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Rautahat</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0.386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0.536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0.034</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33.4</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-37256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07"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Bara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0.457</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0.432</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0.011</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29.9</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24098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12"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Parsa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0.464</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0.604</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0.024</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29.2</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2415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42.6</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r>
      <w:tr>
        <w:trPr>
          <w:trHeight w:val="307"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Saptari</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0.437</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0.852</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0.081</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39.5</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7817</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44.9</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25.1</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w:t>
            </w:r>
          </w:p>
        </w:tc>
      </w:tr>
      <w:tr>
        <w:trPr>
          <w:trHeight w:val="312" w:hRule="exact"/>
        </w:trPr>
        <w:tc>
          <w:tcPr>
            <w:tcBorders/>
            <w:shd w:val="clear" w:color="auto" w:fill="C45911"/>
            <w:vAlign w:val="center"/>
          </w:tcPr>
          <w:p>
            <w:pPr>
              <w:pStyle w:val="Style5"/>
              <w:keepNext w:val="0"/>
              <w:keepLines w:val="0"/>
              <w:widowControl w:val="0"/>
              <w:pBdr>
                <w:top w:val="single" w:sz="0" w:space="0" w:color="C45911"/>
                <w:left w:val="single" w:sz="0" w:space="0" w:color="C45911"/>
                <w:bottom w:val="single" w:sz="0" w:space="0" w:color="C45911"/>
                <w:right w:val="single" w:sz="0" w:space="0" w:color="C45911"/>
              </w:pBdr>
              <w:shd w:val="clear" w:color="auto" w:fill="C45911"/>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Siraha</w:t>
            </w:r>
          </w:p>
        </w:tc>
        <w:tc>
          <w:tcPr>
            <w:tcBorders>
              <w:top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0.408</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0.749</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0.139</w:t>
            </w:r>
          </w:p>
        </w:tc>
        <w:tc>
          <w:tcPr>
            <w:tcBorders>
              <w:top w:val="single" w:sz="4"/>
              <w:left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34.6</w:t>
            </w:r>
          </w:p>
        </w:tc>
        <w:tc>
          <w:tcPr>
            <w:tcBorders>
              <w:top w:val="single" w:sz="4"/>
              <w:left w:val="single" w:sz="4"/>
            </w:tcBorders>
            <w:shd w:val="clear" w:color="auto" w:fill="ECDDE1"/>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-42505</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74.8</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44.9</w:t>
            </w:r>
          </w:p>
        </w:tc>
        <w:tc>
          <w:tcPr>
            <w:tcBorders>
              <w:top w:val="single" w:sz="4"/>
              <w:left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19.3</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25.1</w:t>
            </w:r>
          </w:p>
        </w:tc>
        <w:tc>
          <w:tcPr>
            <w:tcBorders>
              <w:top w:val="single" w:sz="4"/>
              <w:lef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w:t>
            </w:r>
          </w:p>
        </w:tc>
        <w:tc>
          <w:tcPr>
            <w:tcBorders>
              <w:top w:val="single" w:sz="4"/>
              <w:left w:val="single" w:sz="4"/>
              <w:right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w:t>
            </w:r>
          </w:p>
        </w:tc>
      </w:tr>
      <w:tr>
        <w:trPr>
          <w:trHeight w:val="341" w:hRule="exact"/>
        </w:trPr>
        <w:tc>
          <w:tcPr>
            <w:tcBorders>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National</w:t>
            </w:r>
          </w:p>
        </w:tc>
        <w:tc>
          <w:tcPr>
            <w:tcBorders>
              <w:top w:val="single" w:sz="4"/>
              <w:left w:val="single" w:sz="4"/>
              <w:bottom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0.490</w:t>
            </w:r>
          </w:p>
        </w:tc>
        <w:tc>
          <w:tcPr>
            <w:tcBorders>
              <w:top w:val="single" w:sz="4"/>
              <w:left w:val="single" w:sz="4"/>
              <w:bottom w:val="single" w:sz="4"/>
            </w:tcBorders>
            <w:shd w:val="clear" w:color="auto" w:fill="ECDDE1"/>
            <w:vAlign w:val="top"/>
          </w:tcPr>
          <w:p>
            <w:pPr>
              <w:widowControl w:val="0"/>
              <w:rPr>
                <w:sz w:val="10"/>
                <w:szCs w:val="10"/>
              </w:rPr>
            </w:pPr>
          </w:p>
        </w:tc>
        <w:tc>
          <w:tcPr>
            <w:tcBorders>
              <w:top w:val="single" w:sz="4"/>
              <w:left w:val="single" w:sz="4"/>
              <w:bottom w:val="single" w:sz="4"/>
            </w:tcBorders>
            <w:shd w:val="clear" w:color="auto" w:fill="ECDDE1"/>
            <w:vAlign w:val="top"/>
          </w:tcPr>
          <w:p>
            <w:pPr>
              <w:widowControl w:val="0"/>
              <w:rPr>
                <w:sz w:val="10"/>
                <w:szCs w:val="10"/>
              </w:rPr>
            </w:pPr>
          </w:p>
        </w:tc>
        <w:tc>
          <w:tcPr>
            <w:tcBorders>
              <w:top w:val="single" w:sz="4"/>
              <w:left w:val="single" w:sz="4"/>
              <w:bottom w:val="single" w:sz="4"/>
            </w:tcBorders>
            <w:shd w:val="clear" w:color="auto" w:fill="E5B8B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25.2</w:t>
            </w:r>
          </w:p>
        </w:tc>
        <w:tc>
          <w:tcPr>
            <w:tcBorders>
              <w:top w:val="single" w:sz="4"/>
              <w:left w:val="single" w:sz="4"/>
              <w:bottom w:val="single" w:sz="4"/>
            </w:tcBorders>
            <w:shd w:val="clear" w:color="auto" w:fill="ECDDE1"/>
            <w:vAlign w:val="top"/>
          </w:tcPr>
          <w:p>
            <w:pPr>
              <w:widowControl w:val="0"/>
              <w:rPr>
                <w:sz w:val="10"/>
                <w:szCs w:val="10"/>
              </w:rPr>
            </w:pPr>
          </w:p>
        </w:tc>
        <w:tc>
          <w:tcPr>
            <w:tcBorders>
              <w:top w:val="single" w:sz="4"/>
              <w:left w:val="single" w:sz="4"/>
              <w:bottom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40.5</w:t>
            </w:r>
          </w:p>
        </w:tc>
        <w:tc>
          <w:tcPr>
            <w:tcBorders>
              <w:top w:val="single" w:sz="4"/>
              <w:left w:val="single" w:sz="4"/>
              <w:bottom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10.9</w:t>
            </w:r>
          </w:p>
        </w:tc>
        <w:tc>
          <w:tcPr>
            <w:tcBorders>
              <w:top w:val="single" w:sz="4"/>
              <w:left w:val="single" w:sz="4"/>
              <w:bottom w:val="single" w:sz="4"/>
            </w:tcBorders>
            <w:shd w:val="clear" w:color="auto" w:fill="B1A1C8"/>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28.8</w:t>
            </w:r>
          </w:p>
        </w:tc>
        <w:tc>
          <w:tcPr>
            <w:tcBorders>
              <w:top w:val="single" w:sz="4"/>
              <w:left w:val="single" w:sz="4"/>
              <w:bottom w:val="single" w:sz="4"/>
            </w:tcBorders>
            <w:shd w:val="clear" w:color="auto" w:fill="B1A1C8"/>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68.6</w:t>
            </w:r>
          </w:p>
        </w:tc>
        <w:tc>
          <w:tcPr>
            <w:tcBorders>
              <w:top w:val="single" w:sz="4"/>
              <w:left w:val="single" w:sz="4"/>
              <w:bottom w:val="single" w:sz="4"/>
            </w:tcBorders>
            <w:shd w:val="clear" w:color="auto" w:fill="B1A1C8"/>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35</w:t>
            </w:r>
          </w:p>
        </w:tc>
        <w:tc>
          <w:tcPr>
            <w:tcBorders>
              <w:top w:val="single" w:sz="4"/>
              <w:left w:val="single" w:sz="4"/>
              <w:bottom w:val="single" w:sz="4"/>
            </w:tcBorders>
            <w:shd w:val="clear" w:color="auto" w:fill="B1A1C8"/>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18.2</w:t>
            </w:r>
          </w:p>
        </w:tc>
        <w:tc>
          <w:tcPr>
            <w:tcBorders>
              <w:top w:val="single" w:sz="4"/>
              <w:left w:val="single" w:sz="4"/>
              <w:bottom w:val="single" w:sz="4"/>
            </w:tcBorders>
            <w:shd w:val="clear" w:color="auto" w:fill="BADCEA"/>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44.5</w:t>
            </w:r>
          </w:p>
        </w:tc>
        <w:tc>
          <w:tcPr>
            <w:tcBorders>
              <w:top w:val="single" w:sz="4"/>
              <w:left w:val="single" w:sz="4"/>
              <w:bottom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24.4</w:t>
            </w:r>
          </w:p>
        </w:tc>
        <w:tc>
          <w:tcPr>
            <w:tcBorders>
              <w:top w:val="single" w:sz="4"/>
              <w:left w:val="single" w:sz="4"/>
              <w:bottom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46.7</w:t>
            </w:r>
          </w:p>
        </w:tc>
        <w:tc>
          <w:tcPr>
            <w:tcBorders>
              <w:top w:val="single" w:sz="4"/>
              <w:left w:val="single" w:sz="4"/>
              <w:bottom w:val="single" w:sz="4"/>
              <w:right w:val="single" w:sz="4"/>
            </w:tcBorders>
            <w:shd w:val="clear" w:color="auto" w:fill="BADCEA"/>
            <w:vAlign w:val="bottom"/>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24.1</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86" w:right="0" w:firstLine="0"/>
        <w:jc w:val="left"/>
        <w:rPr>
          <w:sz w:val="20"/>
          <w:szCs w:val="20"/>
        </w:rPr>
      </w:pPr>
      <w:r>
        <w:rPr>
          <w:b/>
          <w:bCs/>
          <w:color w:val="000000"/>
          <w:spacing w:val="0"/>
          <w:w w:val="100"/>
          <w:position w:val="0"/>
          <w:sz w:val="20"/>
          <w:szCs w:val="20"/>
          <w:shd w:val="clear" w:color="auto" w:fill="auto"/>
          <w:lang w:val="en-US" w:eastAsia="en-US" w:bidi="en-US"/>
        </w:rPr>
        <w:t>Annex 4: Major Agriculture, Food and Nutrition Security Related Projects/Programs in Nepal</w:t>
      </w:r>
    </w:p>
    <w:tbl>
      <w:tblPr>
        <w:tblOverlap w:val="never"/>
        <w:jc w:val="center"/>
        <w:tblLayout w:type="fixed"/>
      </w:tblPr>
      <w:tblGrid>
        <w:gridCol w:w="518"/>
        <w:gridCol w:w="3144"/>
        <w:gridCol w:w="2194"/>
        <w:gridCol w:w="1742"/>
        <w:gridCol w:w="1459"/>
        <w:gridCol w:w="2568"/>
        <w:gridCol w:w="2568"/>
      </w:tblGrid>
      <w:tr>
        <w:trPr>
          <w:trHeight w:val="451"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SN</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 of Project/Program</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Development</w:t>
            </w:r>
          </w:p>
          <w:p>
            <w:pPr>
              <w:pStyle w:val="Style5"/>
              <w:keepNext w:val="0"/>
              <w:keepLines w:val="0"/>
              <w:widowControl w:val="0"/>
              <w:shd w:val="clear" w:color="auto" w:fill="auto"/>
              <w:bidi w:val="0"/>
              <w:spacing w:before="0" w:after="0" w:line="23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Partner/Institution</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End</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3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Budget (USD million)</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Implementation Status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Area</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Raising Income of Small and Medium Farmers Project (RISMFP)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and Far Western Regions</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 Mountain Agribusiness and Livelihood Improvement (HIMALI)</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Eastern, Central, Western and Mid Western Regions</w:t>
            </w:r>
          </w:p>
        </w:tc>
      </w:tr>
      <w:tr>
        <w:trPr>
          <w:trHeight w:val="667"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Community Managed Irrigated Agriculture Sector Project-Additional</w:t>
            </w:r>
          </w:p>
          <w:p>
            <w:pPr>
              <w:pStyle w:val="Style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Financing (CMIASP-AF)</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 million loan; OFID; 30 million co-financing</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Eastern and Central Regions</w:t>
            </w:r>
          </w:p>
        </w:tc>
      </w:tr>
      <w:tr>
        <w:trPr>
          <w:trHeight w:val="230"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Community Irrigation Project (CIP)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26.4</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districts</w:t>
            </w:r>
          </w:p>
        </w:tc>
      </w:tr>
      <w:tr>
        <w:trPr>
          <w:trHeight w:val="446"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 Value Agriculture Commodity Project (HVAP)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18.9</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Western Region</w:t>
            </w:r>
          </w:p>
        </w:tc>
      </w:tr>
      <w:tr>
        <w:trPr>
          <w:trHeight w:val="451"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Rani JamraGularia Irrigation Project (RJKIP)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and Far West Regions</w:t>
            </w:r>
          </w:p>
        </w:tc>
      </w:tr>
      <w:tr>
        <w:trPr>
          <w:trHeight w:val="451"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on Promoting Climate Resilience (PPCR)</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and Food Security Project (AFSP)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and Far West Regions</w:t>
            </w:r>
          </w:p>
        </w:tc>
      </w:tr>
      <w:tr>
        <w:trPr>
          <w:trHeight w:val="451"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KisanKoLagiUnnatBiuKaryakram (Improved Seed for Farmers) (KUBK)</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2019</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Nepal Agriculture Market Development Program (NAMDP)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SDC</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Nepal Agriculture Service Development Program (NASDP)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SDC</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9.59</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Home Garden Program(HGP)</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SDC</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KISAN</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and Far West Regions</w:t>
            </w:r>
          </w:p>
        </w:tc>
      </w:tr>
      <w:tr>
        <w:trPr>
          <w:trHeight w:val="230"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SABAL</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Eastern and Central Regions</w:t>
            </w:r>
          </w:p>
        </w:tc>
      </w:tr>
      <w:tr>
        <w:trPr>
          <w:trHeight w:val="446"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Suaahara II</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Eastern, Central, Western and Mid and Far Western Regions</w:t>
            </w:r>
          </w:p>
        </w:tc>
      </w:tr>
      <w:tr>
        <w:trPr>
          <w:trHeight w:val="240" w:hRule="exact"/>
        </w:trPr>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16</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PAHAL</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Ongoing</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 and Far West Regions</w:t>
            </w:r>
          </w:p>
        </w:tc>
      </w:tr>
    </w:tbl>
    <w:sectPr>
      <w:footerReference w:type="default" r:id="rId6"/>
      <w:footnotePr>
        <w:pos w:val="pageBottom"/>
        <w:numFmt w:val="decimal"/>
        <w:numRestart w:val="continuous"/>
      </w:footnotePr>
      <w:pgSz w:w="16840" w:h="11900" w:orient="landscape"/>
      <w:pgMar w:top="1949" w:right="1321" w:bottom="2373" w:left="1326" w:header="152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3755390</wp:posOffset>
              </wp:positionH>
              <wp:positionV relativeFrom="page">
                <wp:posOffset>9965055</wp:posOffset>
              </wp:positionV>
              <wp:extent cx="52070" cy="88265"/>
              <wp:wrapNone/>
              <wp:docPr id="1" name="Shape 1"/>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69999999999999pt;margin-top:784.64999999999998pt;width:4.09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5316220</wp:posOffset>
              </wp:positionH>
              <wp:positionV relativeFrom="page">
                <wp:posOffset>6809740</wp:posOffset>
              </wp:positionV>
              <wp:extent cx="64135" cy="91440"/>
              <wp:wrapNone/>
              <wp:docPr id="3" name="Shape 3"/>
              <a:graphic xmlns:a="http://schemas.openxmlformats.org/drawingml/2006/main">
                <a:graphicData uri="http://schemas.microsoft.com/office/word/2010/wordprocessingShape">
                  <wps:wsp>
                    <wps:cNvSpPr txBox="1"/>
                    <wps:spPr>
                      <a:xfrm>
                        <a:ext cx="6413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18.60000000000002pt;margin-top:536.20000000000005pt;width:5.0499999999999998pt;height:7.2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2"/>
      <w:numFmt w:val="decimal"/>
      <w:lvlText w:val="Annex %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6">
    <w:name w:val="Other_"/>
    <w:basedOn w:val="DefaultParagraphFont"/>
    <w:link w:val="Style5"/>
    <w:rPr>
      <w:rFonts w:ascii="Calibri" w:eastAsia="Calibri" w:hAnsi="Calibri" w:cs="Calibri"/>
      <w:b w:val="0"/>
      <w:bCs w:val="0"/>
      <w:i w:val="0"/>
      <w:iCs w:val="0"/>
      <w:smallCaps w:val="0"/>
      <w:strike w:val="0"/>
      <w:sz w:val="20"/>
      <w:szCs w:val="20"/>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Body text_"/>
    <w:basedOn w:val="DefaultParagraphFont"/>
    <w:link w:val="Style17"/>
    <w:rPr>
      <w:rFonts w:ascii="Calibri" w:eastAsia="Calibri" w:hAnsi="Calibri" w:cs="Calibri"/>
      <w:b/>
      <w:bCs/>
      <w:i w:val="0"/>
      <w:iCs w:val="0"/>
      <w:smallCaps w:val="0"/>
      <w:strike w:val="0"/>
      <w:sz w:val="20"/>
      <w:szCs w:val="20"/>
      <w:u w:val="none"/>
    </w:rPr>
  </w:style>
  <w:style w:type="character" w:customStyle="1" w:styleId="CharStyle20">
    <w:name w:val="Heading #2_"/>
    <w:basedOn w:val="DefaultParagraphFont"/>
    <w:link w:val="Style19"/>
    <w:rPr>
      <w:rFonts w:ascii="Calibri" w:eastAsia="Calibri" w:hAnsi="Calibri" w:cs="Calibri"/>
      <w:b w:val="0"/>
      <w:bCs w:val="0"/>
      <w:i w:val="0"/>
      <w:iCs w:val="0"/>
      <w:smallCaps w:val="0"/>
      <w:strike w:val="0"/>
      <w:sz w:val="22"/>
      <w:szCs w:val="22"/>
      <w:u w:val="none"/>
    </w:rPr>
  </w:style>
  <w:style w:type="character" w:customStyle="1" w:styleId="CharStyle24">
    <w:name w:val="Heading #1_"/>
    <w:basedOn w:val="DefaultParagraphFont"/>
    <w:link w:val="Style23"/>
    <w:rPr>
      <w:rFonts w:ascii="Calibri" w:eastAsia="Calibri" w:hAnsi="Calibri" w:cs="Calibri"/>
      <w:b/>
      <w:bCs/>
      <w:i w:val="0"/>
      <w:iCs w:val="0"/>
      <w:smallCaps w:val="0"/>
      <w:strike w:val="0"/>
      <w:sz w:val="22"/>
      <w:szCs w:val="22"/>
      <w:u w:val="none"/>
    </w:rPr>
  </w:style>
  <w:style w:type="paragraph" w:customStyle="1" w:styleId="Style2">
    <w:name w:val="Table caption"/>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auto"/>
      <w:jc w:val="center"/>
    </w:pPr>
    <w:rPr>
      <w:rFonts w:ascii="Calibri" w:eastAsia="Calibri" w:hAnsi="Calibri" w:cs="Calibri"/>
      <w:b w:val="0"/>
      <w:bCs w:val="0"/>
      <w:i w:val="0"/>
      <w:iCs w:val="0"/>
      <w:smallCaps w:val="0"/>
      <w:strike w:val="0"/>
      <w:sz w:val="20"/>
      <w:szCs w:val="20"/>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7">
    <w:name w:val="Body text"/>
    <w:basedOn w:val="Normal"/>
    <w:link w:val="CharStyle18"/>
    <w:qFormat/>
    <w:pPr>
      <w:widowControl w:val="0"/>
      <w:shd w:val="clear" w:color="auto" w:fill="auto"/>
      <w:spacing w:after="220" w:line="250" w:lineRule="auto"/>
    </w:pPr>
    <w:rPr>
      <w:rFonts w:ascii="Calibri" w:eastAsia="Calibri" w:hAnsi="Calibri" w:cs="Calibri"/>
      <w:b/>
      <w:bCs/>
      <w:i w:val="0"/>
      <w:iCs w:val="0"/>
      <w:smallCaps w:val="0"/>
      <w:strike w:val="0"/>
      <w:sz w:val="20"/>
      <w:szCs w:val="20"/>
      <w:u w:val="none"/>
    </w:rPr>
  </w:style>
  <w:style w:type="paragraph" w:customStyle="1" w:styleId="Style19">
    <w:name w:val="Heading #2"/>
    <w:basedOn w:val="Normal"/>
    <w:link w:val="CharStyle20"/>
    <w:pPr>
      <w:widowControl w:val="0"/>
      <w:shd w:val="clear" w:color="auto" w:fill="auto"/>
      <w:spacing w:after="500"/>
      <w:outlineLvl w:val="1"/>
    </w:pPr>
    <w:rPr>
      <w:rFonts w:ascii="Calibri" w:eastAsia="Calibri" w:hAnsi="Calibri" w:cs="Calibri"/>
      <w:b w:val="0"/>
      <w:bCs w:val="0"/>
      <w:i w:val="0"/>
      <w:iCs w:val="0"/>
      <w:smallCaps w:val="0"/>
      <w:strike w:val="0"/>
      <w:sz w:val="22"/>
      <w:szCs w:val="22"/>
      <w:u w:val="none"/>
    </w:rPr>
  </w:style>
  <w:style w:type="paragraph" w:customStyle="1" w:styleId="Style23">
    <w:name w:val="Heading #1"/>
    <w:basedOn w:val="Normal"/>
    <w:link w:val="CharStyle24"/>
    <w:pPr>
      <w:widowControl w:val="0"/>
      <w:shd w:val="clear" w:color="auto" w:fill="auto"/>
      <w:spacing w:after="240"/>
      <w:outlineLvl w:val="0"/>
    </w:pPr>
    <w:rPr>
      <w:rFonts w:ascii="Calibri" w:eastAsia="Calibri" w:hAnsi="Calibri" w:cs="Calibri"/>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